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spacing w:line="360" w:lineRule="auto"/>
        <w:jc w:val="center"/>
        <w:rPr>
          <w:rFonts w:hint="eastAsia" w:eastAsia="方正小标宋简体"/>
          <w:sz w:val="44"/>
          <w:szCs w:val="44"/>
          <w:lang w:eastAsia="zh-CN"/>
        </w:rPr>
      </w:pPr>
      <w:bookmarkStart w:id="0" w:name="page3"/>
      <w:bookmarkEnd w:id="0"/>
      <w:r>
        <w:rPr>
          <w:rFonts w:hint="eastAsia" w:eastAsia="方正小标宋简体"/>
          <w:sz w:val="44"/>
          <w:szCs w:val="44"/>
          <w:lang w:eastAsia="zh-CN"/>
        </w:rPr>
        <w:t>宁东基地煤场集中区七通一平配套基础设施项目横一路东段、纵四路北段接通工程第三方常规及见证检测机构比选</w:t>
      </w:r>
    </w:p>
    <w:p>
      <w:pPr>
        <w:spacing w:line="360" w:lineRule="auto"/>
        <w:rPr>
          <w:rFonts w:ascii="仿宋_GB2312" w:hAnsi="微软雅黑" w:eastAsia="仿宋_GB2312"/>
          <w:sz w:val="20"/>
          <w:szCs w:val="20"/>
        </w:rPr>
      </w:pPr>
    </w:p>
    <w:p>
      <w:pPr>
        <w:pStyle w:val="2"/>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25</w:t>
      </w:r>
      <w:r>
        <w:rPr>
          <w:rFonts w:hint="eastAsia" w:ascii="仿宋_GB2312" w:hAnsi="微软雅黑" w:eastAsia="仿宋_GB2312" w:cs="宋体"/>
          <w:sz w:val="36"/>
          <w:szCs w:val="36"/>
        </w:rPr>
        <w:t>日</w:t>
      </w:r>
    </w:p>
    <w:p>
      <w:pPr>
        <w:keepNext w:val="0"/>
        <w:keepLines w:val="0"/>
        <w:pageBreakBefore/>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lang w:eastAsia="zh-CN"/>
        </w:rPr>
        <w:t>宁东基地煤场集中区七通一平配套基础设施项目横一路东段、纵四路北段接通工程第三方常规及见证检测机构</w:t>
      </w:r>
      <w:r>
        <w:rPr>
          <w:rFonts w:hint="eastAsia" w:eastAsia="方正小标宋简体"/>
          <w:sz w:val="44"/>
          <w:szCs w:val="44"/>
        </w:rPr>
        <w:t>比选公告</w:t>
      </w:r>
    </w:p>
    <w:p>
      <w:pPr>
        <w:keepNext w:val="0"/>
        <w:keepLines w:val="0"/>
        <w:widowControl/>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宋体" w:eastAsia="仿宋_GB2312" w:cs="仿宋_GB2312"/>
          <w:color w:val="000000"/>
          <w:kern w:val="0"/>
          <w:sz w:val="32"/>
          <w:szCs w:val="32"/>
          <w:shd w:val="clear" w:color="auto" w:fill="FFFFFF"/>
        </w:rPr>
        <w:t>宁东基地煤场集中区七通一平配套基础设施项目横一路东段、纵四路北段接通工程</w:t>
      </w:r>
      <w:r>
        <w:rPr>
          <w:rFonts w:hint="eastAsia" w:ascii="仿宋_GB2312" w:hAnsi="楷体" w:eastAsia="仿宋_GB2312"/>
          <w:sz w:val="32"/>
          <w:szCs w:val="32"/>
          <w:u w:val="none"/>
          <w:lang w:eastAsia="zh-CN"/>
        </w:rPr>
        <w:t>第三方常规及见证检测</w:t>
      </w:r>
      <w:r>
        <w:rPr>
          <w:rFonts w:hint="eastAsia" w:ascii="仿宋_GB2312" w:eastAsia="仿宋_GB2312" w:cs="仿宋_GB2312"/>
          <w:sz w:val="32"/>
          <w:szCs w:val="32"/>
          <w:lang w:eastAsia="zh-CN"/>
        </w:rPr>
        <w:t>机构</w:t>
      </w:r>
      <w:r>
        <w:rPr>
          <w:rFonts w:hint="eastAsia" w:ascii="仿宋_GB2312" w:eastAsia="仿宋_GB2312" w:cs="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项目内容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rPr>
        <w:t>（一）项目名称</w:t>
      </w:r>
      <w:r>
        <w:rPr>
          <w:rFonts w:hint="eastAsia" w:ascii="仿宋_GB2312" w:hAnsi="楷体" w:eastAsia="仿宋_GB2312"/>
          <w:sz w:val="32"/>
          <w:szCs w:val="32"/>
          <w:u w:val="none"/>
        </w:rPr>
        <w:t>：</w:t>
      </w:r>
      <w:r>
        <w:rPr>
          <w:rFonts w:hint="eastAsia" w:ascii="仿宋_GB2312" w:hAnsi="宋体" w:eastAsia="仿宋_GB2312" w:cs="仿宋_GB2312"/>
          <w:color w:val="000000"/>
          <w:kern w:val="0"/>
          <w:sz w:val="32"/>
          <w:szCs w:val="32"/>
          <w:shd w:val="clear" w:color="auto" w:fill="FFFFFF"/>
        </w:rPr>
        <w:t>宁东基地煤场集中区七通一平配套基础设施项目横一路东段、纵四路北段接通工程</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u w:val="none"/>
        </w:rPr>
        <w:t>（二）工程地点：</w:t>
      </w:r>
      <w:r>
        <w:rPr>
          <w:rFonts w:hint="eastAsia" w:ascii="仿宋_GB2312" w:hAnsi="楷体" w:eastAsia="仿宋_GB2312"/>
          <w:sz w:val="32"/>
          <w:szCs w:val="32"/>
          <w:u w:val="none"/>
          <w:lang w:eastAsia="zh-CN"/>
        </w:rPr>
        <w:t>宁东基地</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（三）工程</w:t>
      </w:r>
      <w:r>
        <w:rPr>
          <w:rFonts w:hint="eastAsia" w:ascii="仿宋_GB2312" w:hAnsi="楷体" w:eastAsia="仿宋_GB2312"/>
          <w:sz w:val="32"/>
          <w:szCs w:val="32"/>
          <w:lang w:eastAsia="zh-CN"/>
        </w:rPr>
        <w:t>总投资</w:t>
      </w:r>
      <w:r>
        <w:rPr>
          <w:rFonts w:hint="eastAsia" w:ascii="仿宋_GB2312" w:hAnsi="楷体" w:eastAsia="仿宋_GB2312"/>
          <w:sz w:val="32"/>
          <w:szCs w:val="32"/>
        </w:rPr>
        <w:t>：</w:t>
      </w:r>
      <w:r>
        <w:rPr>
          <w:rFonts w:hint="eastAsia" w:ascii="仿宋_GB2312" w:hAnsi="宋体" w:eastAsia="仿宋_GB2312" w:cs="仿宋_GB2312"/>
          <w:color w:val="000000"/>
          <w:kern w:val="0"/>
          <w:sz w:val="32"/>
          <w:szCs w:val="32"/>
          <w:shd w:val="clear" w:color="auto" w:fill="FFFFFF"/>
          <w:lang w:val="en-US" w:eastAsia="zh-CN"/>
        </w:rPr>
        <w:t>345.</w:t>
      </w:r>
      <w:bookmarkStart w:id="1" w:name="_GoBack"/>
      <w:bookmarkEnd w:id="1"/>
      <w:r>
        <w:rPr>
          <w:rFonts w:hint="eastAsia" w:ascii="仿宋_GB2312" w:hAnsi="宋体" w:eastAsia="仿宋_GB2312" w:cs="仿宋_GB2312"/>
          <w:color w:val="000000"/>
          <w:kern w:val="0"/>
          <w:sz w:val="32"/>
          <w:szCs w:val="32"/>
          <w:shd w:val="clear" w:color="auto" w:fill="FFFFFF"/>
          <w:lang w:val="en-US" w:eastAsia="zh-CN"/>
        </w:rPr>
        <w:t>709248</w:t>
      </w:r>
      <w:r>
        <w:rPr>
          <w:rFonts w:hint="eastAsia" w:ascii="仿宋_GB2312" w:hAnsi="楷体" w:eastAsia="仿宋_GB2312"/>
          <w:sz w:val="32"/>
          <w:szCs w:val="32"/>
          <w:lang w:val="en-US" w:eastAsia="zh-CN"/>
        </w:rPr>
        <w:t>万元。</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（四）比选标段划分：</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一标段：宁东基地煤场集中区七通一平配套基础设施项目横一路东段、纵四路北段接通工程常规检测；</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二标段：宁东基地煤场集中区七通一平配套基础设施项目横一路东段、纵四路北段接通工程见证检测。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项目委托内容和参选人报价须知</w:t>
      </w:r>
    </w:p>
    <w:p>
      <w:pPr>
        <w:pStyle w:val="16"/>
        <w:keepNext w:val="0"/>
        <w:keepLines w:val="0"/>
        <w:widowControl/>
        <w:numPr>
          <w:ilvl w:val="0"/>
          <w:numId w:val="2"/>
        </w:numPr>
        <w:kinsoku/>
        <w:wordWrap/>
        <w:overflowPunct/>
        <w:topLinePunct w:val="0"/>
        <w:autoSpaceDE/>
        <w:autoSpaceDN/>
        <w:bidi w:val="0"/>
        <w:adjustRightInd/>
        <w:snapToGrid/>
        <w:spacing w:line="560" w:lineRule="exact"/>
        <w:ind w:firstLineChars="0"/>
        <w:textAlignment w:val="auto"/>
        <w:rPr>
          <w:rFonts w:ascii="仿宋_GB2312" w:hAnsi="楷体" w:eastAsia="仿宋_GB2312"/>
          <w:sz w:val="32"/>
          <w:szCs w:val="32"/>
        </w:rPr>
      </w:pPr>
      <w:r>
        <w:rPr>
          <w:rFonts w:hint="eastAsia" w:ascii="仿宋_GB2312" w:hAnsi="楷体" w:eastAsia="仿宋_GB2312"/>
          <w:sz w:val="32"/>
          <w:szCs w:val="32"/>
        </w:rPr>
        <w:t>项目委托具体内容：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lang w:eastAsia="zh-CN"/>
        </w:rPr>
      </w:pPr>
      <w:r>
        <w:rPr>
          <w:rFonts w:hint="eastAsia" w:ascii="仿宋_GB2312" w:hAnsi="楷体" w:eastAsia="仿宋_GB2312"/>
          <w:sz w:val="32"/>
          <w:szCs w:val="32"/>
        </w:rPr>
        <w:t>1.检测项目：</w:t>
      </w:r>
      <w:r>
        <w:rPr>
          <w:rFonts w:hint="eastAsia" w:ascii="仿宋_GB2312" w:hAnsi="楷体" w:eastAsia="仿宋_GB2312"/>
          <w:sz w:val="32"/>
          <w:szCs w:val="32"/>
          <w:lang w:eastAsia="zh-CN"/>
        </w:rPr>
        <w:t>一标段：</w:t>
      </w:r>
      <w:r>
        <w:rPr>
          <w:rFonts w:hint="eastAsia" w:ascii="仿宋_GB2312" w:hAnsi="楷体" w:eastAsia="仿宋_GB2312"/>
          <w:sz w:val="32"/>
          <w:szCs w:val="32"/>
        </w:rPr>
        <w:t>常规检测</w:t>
      </w:r>
      <w:r>
        <w:rPr>
          <w:rFonts w:hint="eastAsia" w:ascii="仿宋_GB2312" w:hAnsi="楷体" w:eastAsia="仿宋_GB2312"/>
          <w:sz w:val="32"/>
          <w:szCs w:val="32"/>
          <w:lang w:eastAsia="zh-CN"/>
        </w:rPr>
        <w:t>；二标段：见证检测</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ascii="仿宋_GB2312" w:hAnsi="楷体" w:eastAsia="仿宋_GB2312"/>
          <w:sz w:val="32"/>
          <w:szCs w:val="32"/>
        </w:rPr>
      </w:pPr>
      <w:r>
        <w:rPr>
          <w:rFonts w:hint="eastAsia" w:ascii="仿宋_GB2312" w:hAnsi="楷体" w:eastAsia="仿宋_GB2312"/>
          <w:sz w:val="32"/>
          <w:szCs w:val="32"/>
        </w:rPr>
        <w:t>2.执行标准：按照相关标准要求执行。</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sz w:val="32"/>
          <w:szCs w:val="32"/>
          <w:lang w:eastAsia="zh-CN"/>
        </w:rPr>
      </w:pPr>
      <w:r>
        <w:rPr>
          <w:rFonts w:hint="eastAsia" w:ascii="仿宋_GB2312" w:hAnsi="仿宋_GB2312" w:eastAsia="仿宋_GB2312" w:cs="仿宋_GB2312"/>
          <w:sz w:val="32"/>
          <w:szCs w:val="32"/>
        </w:rPr>
        <w:t>（二）参选人报价须知：</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r>
        <w:rPr>
          <w:rFonts w:hint="eastAsia" w:ascii="仿宋_GB2312" w:hAnsi="仿宋_GB2312" w:eastAsia="仿宋_GB2312" w:cs="仿宋_GB2312"/>
          <w:sz w:val="32"/>
          <w:szCs w:val="32"/>
        </w:rPr>
        <w:t>参选人需根据项目内容合理报价，本次比选价格</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包含常规</w:t>
      </w:r>
      <w:r>
        <w:rPr>
          <w:rFonts w:hint="eastAsia" w:ascii="仿宋_GB2312" w:hAnsi="仿宋_GB2312" w:eastAsia="仿宋_GB2312" w:cs="仿宋_GB2312"/>
          <w:sz w:val="32"/>
          <w:szCs w:val="32"/>
          <w:lang w:eastAsia="zh-CN"/>
        </w:rPr>
        <w:t>及见证</w:t>
      </w:r>
      <w:r>
        <w:rPr>
          <w:rFonts w:hint="eastAsia" w:ascii="仿宋_GB2312" w:hAnsi="仿宋_GB2312" w:eastAsia="仿宋_GB2312" w:cs="仿宋_GB2312"/>
          <w:sz w:val="32"/>
          <w:szCs w:val="32"/>
        </w:rPr>
        <w:t>检测过程中发生的所有费用，不再另行支付任何费用。</w:t>
      </w:r>
      <w:r>
        <w:rPr>
          <w:rFonts w:hint="eastAsia" w:ascii="仿宋_GB2312" w:hAnsi="仿宋_GB2312" w:eastAsia="仿宋_GB2312" w:cs="仿宋_GB2312"/>
          <w:sz w:val="32"/>
          <w:szCs w:val="32"/>
          <w:lang w:eastAsia="zh-CN"/>
        </w:rPr>
        <w:t>（如需项目施工图，联系后附联系人获取。）</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。参选单位可同时参加两个标段比选，先行比选常规检测，如已中选常规检测，不在参与见证检测比选。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评审委员会组成</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局邀请相关部门人员组成，并且邀请相关部门进行全程监督。</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（三）递交参选文件截止时间：</w:t>
      </w:r>
      <w:r>
        <w:rPr>
          <w:rFonts w:hint="eastAsia" w:ascii="仿宋_GB2312" w:hAnsi="仿宋_GB2312" w:eastAsia="仿宋_GB2312" w:cs="仿宋_GB2312"/>
          <w:sz w:val="32"/>
          <w:szCs w:val="32"/>
          <w:lang w:eastAsia="zh-CN"/>
        </w:rPr>
        <w:t>2022年3月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时。</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（四）参选单位递交参选文件地点：宁东管委会企业总部大楼4楼</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rPr>
        <w:t>会议室，现场递交由参选单位密封的参选文件。</w:t>
      </w:r>
      <w:r>
        <w:rPr>
          <w:rFonts w:hint="eastAsia" w:ascii="仿宋_GB2312" w:hAnsi="仿宋_GB2312" w:eastAsia="仿宋_GB2312" w:cs="仿宋_GB2312"/>
          <w:sz w:val="32"/>
          <w:szCs w:val="32"/>
          <w:lang w:eastAsia="zh-CN"/>
        </w:rPr>
        <w:t>联系人：刘帅</w:t>
      </w:r>
      <w:r>
        <w:rPr>
          <w:rFonts w:hint="eastAsia" w:ascii="仿宋_GB2312" w:hAnsi="仿宋_GB2312" w:eastAsia="仿宋_GB2312" w:cs="仿宋_GB2312"/>
          <w:sz w:val="32"/>
          <w:szCs w:val="32"/>
          <w:lang w:val="en-US" w:eastAsia="zh-CN"/>
        </w:rPr>
        <w:t>17752305551。</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eastAsia="zh-CN"/>
        </w:rPr>
        <w:t>（九）比选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12462DC3"/>
    <w:multiLevelType w:val="multilevel"/>
    <w:tmpl w:val="12462DC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EE2D36"/>
    <w:rsid w:val="28FE3BF6"/>
    <w:rsid w:val="296E5A85"/>
    <w:rsid w:val="2A9107AE"/>
    <w:rsid w:val="2ACC252C"/>
    <w:rsid w:val="2B882F2F"/>
    <w:rsid w:val="2C116A65"/>
    <w:rsid w:val="2CF535F2"/>
    <w:rsid w:val="2D564478"/>
    <w:rsid w:val="2D597913"/>
    <w:rsid w:val="2DBA3144"/>
    <w:rsid w:val="2DE01905"/>
    <w:rsid w:val="2E907501"/>
    <w:rsid w:val="2E9A6BE7"/>
    <w:rsid w:val="2EAC4F6F"/>
    <w:rsid w:val="2F135DE7"/>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52538B1"/>
    <w:rsid w:val="55AB5894"/>
    <w:rsid w:val="5685223F"/>
    <w:rsid w:val="57DE58EC"/>
    <w:rsid w:val="57E70B78"/>
    <w:rsid w:val="582D366E"/>
    <w:rsid w:val="59294AF0"/>
    <w:rsid w:val="59C329EA"/>
    <w:rsid w:val="59C67551"/>
    <w:rsid w:val="5AA26BEE"/>
    <w:rsid w:val="5BC83DFE"/>
    <w:rsid w:val="5C6778A1"/>
    <w:rsid w:val="5C685613"/>
    <w:rsid w:val="5D1532D6"/>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3C0B9F"/>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2"/>
    <w:qFormat/>
    <w:uiPriority w:val="0"/>
    <w:pPr>
      <w:keepNext/>
      <w:keepLines/>
      <w:widowControl w:val="0"/>
      <w:spacing w:before="340" w:after="330" w:line="578" w:lineRule="auto"/>
      <w:jc w:val="both"/>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ind w:firstLine="420" w:firstLineChars="200"/>
    </w:pPr>
  </w:style>
  <w:style w:type="character" w:customStyle="1" w:styleId="12">
    <w:name w:val="标题 1 Char"/>
    <w:basedOn w:val="10"/>
    <w:link w:val="3"/>
    <w:qFormat/>
    <w:uiPriority w:val="0"/>
    <w:rPr>
      <w:rFonts w:ascii="Times New Roman" w:hAnsi="Times New Roman" w:eastAsia="宋体" w:cs="Times New Roman"/>
      <w:b/>
      <w:bCs/>
      <w:kern w:val="44"/>
      <w:sz w:val="44"/>
      <w:szCs w:val="44"/>
    </w:rPr>
  </w:style>
  <w:style w:type="character" w:customStyle="1" w:styleId="13">
    <w:name w:val="页脚 Char"/>
    <w:basedOn w:val="10"/>
    <w:link w:val="5"/>
    <w:qFormat/>
    <w:uiPriority w:val="99"/>
    <w:rPr>
      <w:rFonts w:ascii="Times New Roman" w:hAnsi="Times New Roman" w:cs="Times New Roman"/>
      <w:kern w:val="0"/>
      <w:sz w:val="18"/>
      <w:szCs w:val="18"/>
    </w:rPr>
  </w:style>
  <w:style w:type="character" w:customStyle="1" w:styleId="14">
    <w:name w:val="页眉 Char"/>
    <w:basedOn w:val="10"/>
    <w:link w:val="6"/>
    <w:qFormat/>
    <w:uiPriority w:val="99"/>
    <w:rPr>
      <w:rFonts w:ascii="Times New Roman" w:hAnsi="Times New Roman" w:cs="Times New Roman"/>
      <w:kern w:val="0"/>
      <w:sz w:val="18"/>
      <w:szCs w:val="18"/>
    </w:rPr>
  </w:style>
  <w:style w:type="character" w:customStyle="1" w:styleId="15">
    <w:name w:val="批注框文本 Char"/>
    <w:basedOn w:val="10"/>
    <w:link w:val="4"/>
    <w:semiHidden/>
    <w:qFormat/>
    <w:uiPriority w:val="99"/>
    <w:rPr>
      <w:rFonts w:ascii="Times New Roman" w:hAnsi="Times New Roman" w:cs="Times New Roman"/>
      <w:kern w:val="0"/>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3598</Words>
  <Characters>412</Characters>
  <Lines>3</Lines>
  <Paragraphs>8</Paragraphs>
  <TotalTime>0</TotalTime>
  <ScaleCrop>false</ScaleCrop>
  <LinksUpToDate>false</LinksUpToDate>
  <CharactersWithSpaces>4002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Administrator</cp:lastModifiedBy>
  <cp:lastPrinted>2021-03-18T10:37:00Z</cp:lastPrinted>
  <dcterms:modified xsi:type="dcterms:W3CDTF">2022-03-23T06:39:55Z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FEE44B22DFB54E31A201DD7C28BC7AF3</vt:lpwstr>
  </property>
</Properties>
</file>