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jc w:val="both"/>
        <w:rPr>
          <w:rFonts w:cs="Times New Roman"/>
        </w:rPr>
      </w:pPr>
    </w:p>
    <w:p>
      <w:pPr>
        <w:spacing w:line="360" w:lineRule="auto"/>
        <w:jc w:val="center"/>
        <w:rPr>
          <w:rFonts w:hint="eastAsia" w:ascii="方正小标宋简体" w:hAnsi="方正小标宋简体" w:eastAsia="方正小标宋简体" w:cs="方正小标宋简体"/>
          <w:sz w:val="44"/>
          <w:szCs w:val="44"/>
          <w:lang w:val="en-US" w:eastAsia="zh-CN"/>
        </w:rPr>
      </w:pPr>
      <w:bookmarkStart w:id="0" w:name="page3"/>
      <w:bookmarkEnd w:id="0"/>
      <w:bookmarkStart w:id="1" w:name="_Toc274911091"/>
      <w:bookmarkStart w:id="2" w:name="_Toc26826"/>
      <w:bookmarkStart w:id="3" w:name="_Toc24482"/>
      <w:bookmarkStart w:id="4" w:name="_Toc361149351"/>
      <w:bookmarkStart w:id="5" w:name="_Toc4216"/>
      <w:bookmarkStart w:id="6" w:name="OLE_LINK2"/>
      <w:bookmarkStart w:id="7" w:name="_Toc19764"/>
      <w:bookmarkStart w:id="8" w:name="_Toc13988"/>
      <w:bookmarkStart w:id="9" w:name="OLE_LINK3"/>
      <w:bookmarkStart w:id="10" w:name="_Toc350345663"/>
      <w:r>
        <w:rPr>
          <w:rFonts w:hint="eastAsia" w:ascii="方正小标宋简体" w:hAnsi="方正小标宋简体" w:eastAsia="方正小标宋简体" w:cs="方正小标宋简体"/>
          <w:sz w:val="44"/>
          <w:szCs w:val="44"/>
          <w:lang w:val="en-US" w:eastAsia="zh-CN"/>
        </w:rPr>
        <w:t>宁东镇塞上农民新居市政基础设施及人居环境提升治理工作监理单位</w:t>
      </w:r>
      <w:bookmarkEnd w:id="1"/>
      <w:bookmarkEnd w:id="2"/>
      <w:bookmarkEnd w:id="3"/>
      <w:bookmarkEnd w:id="4"/>
      <w:bookmarkEnd w:id="5"/>
      <w:bookmarkEnd w:id="6"/>
      <w:bookmarkEnd w:id="7"/>
      <w:bookmarkEnd w:id="8"/>
      <w:bookmarkEnd w:id="9"/>
      <w:bookmarkEnd w:id="10"/>
    </w:p>
    <w:p>
      <w:pPr>
        <w:spacing w:line="360" w:lineRule="auto"/>
        <w:jc w:val="center"/>
        <w:rPr>
          <w:rFonts w:hint="eastAsia" w:ascii="方正小标宋简体" w:hAnsi="方正小标宋简体" w:eastAsia="方正小标宋简体" w:cs="方正小标宋简体"/>
          <w:sz w:val="44"/>
          <w:szCs w:val="44"/>
          <w:lang w:val="en-US" w:eastAsia="zh-CN"/>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仿宋_GB2312" w:hAnsi="微软雅黑" w:eastAsia="仿宋_GB2312" w:cs="Times New Roman"/>
          <w:sz w:val="20"/>
          <w:szCs w:val="20"/>
        </w:rPr>
      </w:pPr>
      <w:r>
        <w:rPr>
          <w:rFonts w:hint="eastAsia" w:ascii="方正小标宋简体" w:hAnsi="方正小标宋简体" w:eastAsia="方正小标宋简体" w:cs="方正小标宋简体"/>
          <w:sz w:val="72"/>
          <w:szCs w:val="72"/>
        </w:rPr>
        <w:t>件</w:t>
      </w:r>
    </w:p>
    <w:p>
      <w:pPr>
        <w:pStyle w:val="4"/>
        <w:jc w:val="center"/>
        <w:rPr>
          <w:rFonts w:cs="Times New Roman"/>
        </w:rPr>
      </w:pPr>
    </w:p>
    <w:p>
      <w:pPr>
        <w:pStyle w:val="4"/>
        <w:rPr>
          <w:rFonts w:cs="Times New Roman"/>
        </w:rPr>
      </w:pPr>
    </w:p>
    <w:p>
      <w:pPr>
        <w:spacing w:line="576" w:lineRule="exact"/>
        <w:ind w:firstLine="1537" w:firstLineChars="427"/>
        <w:jc w:val="both"/>
        <w:rPr>
          <w:rFonts w:hint="eastAsia" w:ascii="仿宋_GB2312" w:hAnsi="微软雅黑" w:eastAsia="仿宋_GB2312" w:cs="仿宋_GB2312"/>
          <w:color w:val="333333"/>
          <w:sz w:val="36"/>
          <w:szCs w:val="36"/>
          <w:lang w:eastAsia="zh-CN"/>
        </w:rPr>
      </w:pPr>
      <w:r>
        <w:rPr>
          <w:rFonts w:hint="eastAsia" w:ascii="仿宋_GB2312" w:hAnsi="微软雅黑" w:eastAsia="仿宋_GB2312" w:cs="仿宋_GB2312"/>
          <w:color w:val="333333"/>
          <w:sz w:val="36"/>
          <w:szCs w:val="36"/>
        </w:rPr>
        <w:t>编制单位：宁东管委会</w:t>
      </w:r>
      <w:r>
        <w:rPr>
          <w:rFonts w:hint="eastAsia" w:ascii="仿宋_GB2312" w:hAnsi="微软雅黑" w:eastAsia="仿宋_GB2312" w:cs="仿宋_GB2312"/>
          <w:color w:val="333333"/>
          <w:sz w:val="36"/>
          <w:szCs w:val="36"/>
          <w:lang w:eastAsia="zh-CN"/>
        </w:rPr>
        <w:t>建设和交通局</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w:t>
      </w:r>
      <w:r>
        <w:rPr>
          <w:rFonts w:hint="eastAsia" w:ascii="仿宋_GB2312" w:hAnsi="微软雅黑" w:eastAsia="仿宋_GB2312" w:cs="仿宋_GB2312"/>
          <w:color w:val="333333"/>
          <w:sz w:val="36"/>
          <w:szCs w:val="36"/>
          <w:lang w:val="en-US" w:eastAsia="zh-CN"/>
        </w:rPr>
        <w:t>2</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6</w:t>
      </w:r>
      <w:r>
        <w:rPr>
          <w:rFonts w:hint="eastAsia" w:ascii="仿宋_GB2312" w:hAnsi="微软雅黑" w:eastAsia="仿宋_GB2312" w:cs="仿宋_GB2312"/>
          <w:color w:val="333333"/>
          <w:sz w:val="36"/>
          <w:szCs w:val="36"/>
        </w:rPr>
        <w:t>月</w:t>
      </w:r>
      <w:bookmarkStart w:id="11" w:name="page4"/>
      <w:bookmarkEnd w:id="11"/>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pStyle w:val="4"/>
        <w:spacing w:before="0" w:after="0" w:line="6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宁东镇塞上农民新居市政基础设施及人居环境提升治理工作监理单位比选文件</w:t>
      </w:r>
    </w:p>
    <w:p>
      <w:pPr>
        <w:rPr>
          <w:lang w:val="en-US"/>
        </w:rPr>
      </w:pP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按照《宁东能源化工基地管委会政府投资项目招标投标管理监督暂行办法》和《宁东能源化工基地管委会政府投资项目招标投标管理监督暂行办法的补充规定》的有关要求，拟</w:t>
      </w:r>
      <w:r>
        <w:rPr>
          <w:rFonts w:hint="eastAsia" w:ascii="仿宋_GB2312" w:eastAsia="仿宋_GB2312" w:cs="仿宋_GB2312"/>
          <w:color w:val="000000"/>
          <w:sz w:val="32"/>
          <w:szCs w:val="32"/>
          <w:shd w:val="clear" w:color="auto" w:fill="FFFFFF"/>
        </w:rPr>
        <w:t>通过公开比选的方式，</w:t>
      </w:r>
      <w:r>
        <w:rPr>
          <w:rFonts w:hint="eastAsia" w:ascii="仿宋_GB2312" w:eastAsia="仿宋_GB2312" w:cs="仿宋_GB2312"/>
          <w:sz w:val="32"/>
          <w:szCs w:val="32"/>
        </w:rPr>
        <w:t>确定</w:t>
      </w:r>
      <w:r>
        <w:rPr>
          <w:rFonts w:hint="eastAsia" w:ascii="仿宋_GB2312" w:eastAsia="仿宋_GB2312" w:cs="仿宋_GB2312"/>
          <w:sz w:val="32"/>
          <w:szCs w:val="32"/>
          <w:lang w:val="en-US" w:eastAsia="zh-CN"/>
        </w:rPr>
        <w:t>宁东镇塞上农民新居市政基础设施及人居环境提升治理工作监理单位</w:t>
      </w:r>
      <w:r>
        <w:rPr>
          <w:rFonts w:hint="eastAsia" w:ascii="仿宋_GB2312" w:eastAsia="仿宋_GB2312" w:cs="仿宋_GB2312"/>
          <w:sz w:val="32"/>
          <w:szCs w:val="32"/>
        </w:rPr>
        <w:t>。现将相关事宜公告如下：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工作概况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val="en-US" w:eastAsia="zh-CN"/>
        </w:rPr>
        <w:t>工作名称：</w:t>
      </w:r>
      <w:r>
        <w:rPr>
          <w:rFonts w:hint="eastAsia" w:ascii="仿宋_GB2312" w:hAnsi="宋体" w:eastAsia="仿宋_GB2312" w:cs="仿宋_GB2312"/>
          <w:color w:val="000000"/>
          <w:kern w:val="0"/>
          <w:sz w:val="32"/>
          <w:szCs w:val="32"/>
          <w:shd w:val="clear" w:color="auto" w:fill="FFFFFF"/>
          <w:lang w:val="en-US" w:eastAsia="zh-CN"/>
        </w:rPr>
        <w:t>宁东镇塞上农民新居市政基础设施及人居环境提升治理工作</w:t>
      </w:r>
    </w:p>
    <w:p>
      <w:pPr>
        <w:keepNext w:val="0"/>
        <w:keepLines w:val="0"/>
        <w:pageBreakBefore w:val="0"/>
        <w:kinsoku/>
        <w:wordWrap/>
        <w:overflowPunct/>
        <w:topLinePunct w:val="0"/>
        <w:bidi w:val="0"/>
        <w:adjustRightInd/>
        <w:snapToGrid w:val="0"/>
        <w:spacing w:line="600" w:lineRule="exact"/>
        <w:ind w:firstLine="643" w:firstLineChars="200"/>
        <w:textAlignment w:val="auto"/>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lang w:eastAsia="zh-CN"/>
        </w:rPr>
        <w:t>宁东管委会建设和交通</w:t>
      </w:r>
      <w:r>
        <w:rPr>
          <w:rFonts w:hint="eastAsia" w:ascii="仿宋_GB2312" w:hAnsi="宋体" w:eastAsia="仿宋_GB2312" w:cs="仿宋_GB2312"/>
          <w:color w:val="000000"/>
          <w:kern w:val="0"/>
          <w:sz w:val="32"/>
          <w:szCs w:val="32"/>
          <w:shd w:val="clear" w:color="auto" w:fill="FFFFFF"/>
        </w:rPr>
        <w:t>局</w:t>
      </w:r>
      <w:r>
        <w:rPr>
          <w:rFonts w:hint="eastAsia" w:ascii="仿宋_GB2312" w:hAnsi="宋体" w:eastAsia="仿宋_GB2312" w:cs="仿宋_GB2312"/>
          <w:color w:val="000000"/>
          <w:kern w:val="0"/>
          <w:sz w:val="32"/>
          <w:szCs w:val="32"/>
          <w:shd w:val="clear" w:color="auto" w:fill="FFFFFF"/>
          <w:lang w:eastAsia="zh-CN"/>
        </w:rPr>
        <w:t>；</w:t>
      </w:r>
    </w:p>
    <w:p>
      <w:pPr>
        <w:keepNext w:val="0"/>
        <w:keepLines w:val="0"/>
        <w:pageBreakBefore w:val="0"/>
        <w:kinsoku/>
        <w:wordWrap/>
        <w:overflowPunct/>
        <w:topLinePunct w:val="0"/>
        <w:bidi w:val="0"/>
        <w:adjustRightInd/>
        <w:snapToGrid w:val="0"/>
        <w:spacing w:line="600" w:lineRule="exact"/>
        <w:ind w:firstLine="643"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工作地点：</w:t>
      </w:r>
      <w:r>
        <w:rPr>
          <w:rFonts w:hint="eastAsia" w:ascii="仿宋_GB2312" w:hAnsi="宋体" w:eastAsia="仿宋_GB2312" w:cs="仿宋_GB2312"/>
          <w:color w:val="000000"/>
          <w:kern w:val="0"/>
          <w:sz w:val="32"/>
          <w:szCs w:val="32"/>
          <w:shd w:val="clear" w:color="auto" w:fill="FFFFFF"/>
        </w:rPr>
        <w:t>宁东基地</w:t>
      </w:r>
    </w:p>
    <w:p>
      <w:pPr>
        <w:keepNext w:val="0"/>
        <w:keepLines w:val="0"/>
        <w:pageBreakBefore w:val="0"/>
        <w:kinsoku/>
        <w:wordWrap/>
        <w:overflowPunct/>
        <w:topLinePunct w:val="0"/>
        <w:bidi w:val="0"/>
        <w:adjustRightInd/>
        <w:snapToGrid w:val="0"/>
        <w:spacing w:line="600" w:lineRule="exact"/>
        <w:ind w:firstLine="643" w:firstLineChars="200"/>
        <w:textAlignment w:val="auto"/>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：自监理合同签订之日起至</w:t>
      </w:r>
      <w:r>
        <w:rPr>
          <w:rFonts w:hint="eastAsia" w:ascii="仿宋_GB2312" w:hAnsi="宋体" w:eastAsia="仿宋_GB2312" w:cs="仿宋_GB2312"/>
          <w:color w:val="000000"/>
          <w:kern w:val="0"/>
          <w:sz w:val="32"/>
          <w:szCs w:val="32"/>
          <w:shd w:val="clear" w:color="auto" w:fill="FFFFFF"/>
          <w:lang w:eastAsia="zh-CN"/>
        </w:rPr>
        <w:t>竣工验收结束</w:t>
      </w:r>
    </w:p>
    <w:p>
      <w:pPr>
        <w:keepNext w:val="0"/>
        <w:keepLines w:val="0"/>
        <w:pageBreakBefore w:val="0"/>
        <w:kinsoku/>
        <w:wordWrap/>
        <w:overflowPunct/>
        <w:topLinePunct w:val="0"/>
        <w:bidi w:val="0"/>
        <w:adjustRightInd/>
        <w:snapToGrid w:val="0"/>
        <w:spacing w:line="600" w:lineRule="exact"/>
        <w:ind w:firstLine="643" w:firstLineChars="200"/>
        <w:textAlignment w:val="auto"/>
        <w:rPr>
          <w:rFonts w:hint="default"/>
          <w:lang w:val="en-US"/>
        </w:rPr>
      </w:pPr>
      <w:r>
        <w:rPr>
          <w:rFonts w:hint="eastAsia" w:ascii="仿宋_GB2312" w:hAnsi="宋体" w:eastAsia="仿宋_GB2312" w:cs="仿宋_GB2312"/>
          <w:b/>
          <w:bCs/>
          <w:color w:val="000000"/>
          <w:kern w:val="0"/>
          <w:sz w:val="32"/>
          <w:szCs w:val="32"/>
          <w:shd w:val="clear" w:color="auto" w:fill="FFFFFF"/>
          <w:lang w:eastAsia="zh-CN"/>
        </w:rPr>
        <w:t>工作费用：</w:t>
      </w:r>
      <w:r>
        <w:rPr>
          <w:rFonts w:hint="eastAsia" w:ascii="仿宋_GB2312" w:hAnsi="宋体" w:eastAsia="仿宋_GB2312" w:cs="仿宋_GB2312"/>
          <w:color w:val="000000"/>
          <w:kern w:val="0"/>
          <w:sz w:val="32"/>
          <w:szCs w:val="32"/>
          <w:shd w:val="clear" w:color="auto" w:fill="FFFFFF"/>
          <w:lang w:eastAsia="zh-CN"/>
        </w:rPr>
        <w:t>估算总投资</w:t>
      </w:r>
      <w:r>
        <w:rPr>
          <w:rFonts w:hint="eastAsia" w:ascii="仿宋_GB2312" w:hAnsi="宋体" w:eastAsia="仿宋_GB2312" w:cs="仿宋_GB2312"/>
          <w:color w:val="000000"/>
          <w:kern w:val="0"/>
          <w:sz w:val="32"/>
          <w:szCs w:val="32"/>
          <w:shd w:val="clear" w:color="auto" w:fill="FFFFFF"/>
          <w:lang w:val="en-US" w:eastAsia="zh-CN"/>
        </w:rPr>
        <w:t>5000万元，</w:t>
      </w:r>
      <w:r>
        <w:rPr>
          <w:rFonts w:hint="eastAsia" w:ascii="仿宋_GB2312" w:hAnsi="仿宋_GB2312" w:eastAsia="仿宋_GB2312" w:cs="仿宋_GB2312"/>
          <w:sz w:val="32"/>
          <w:szCs w:val="32"/>
          <w:u w:val="none"/>
          <w:lang w:val="en-US" w:eastAsia="zh-CN"/>
        </w:rPr>
        <w:t>最终以结算价为准。</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hint="eastAsia" w:ascii="仿宋_GB2312" w:hAnsi="宋体" w:eastAsia="仿宋_GB2312" w:cs="仿宋_GB2312"/>
          <w:color w:val="000000"/>
          <w:kern w:val="0"/>
          <w:sz w:val="32"/>
          <w:szCs w:val="32"/>
          <w:shd w:val="clear" w:color="auto" w:fill="FFFFFF"/>
          <w:lang w:eastAsia="zh-CN"/>
        </w:rPr>
        <w:t>（</w:t>
      </w:r>
      <w:r>
        <w:rPr>
          <w:rFonts w:hint="eastAsia" w:ascii="仿宋_GB2312" w:hAnsi="宋体" w:eastAsia="仿宋_GB2312" w:cs="仿宋_GB2312"/>
          <w:color w:val="000000"/>
          <w:kern w:val="0"/>
          <w:sz w:val="32"/>
          <w:szCs w:val="32"/>
          <w:shd w:val="clear" w:color="auto" w:fill="FFFFFF"/>
          <w:lang w:val="en-US" w:eastAsia="zh-CN"/>
        </w:rPr>
        <w:t>包含拟派驻人员承诺，</w:t>
      </w:r>
      <w:r>
        <w:rPr>
          <w:rFonts w:hint="eastAsia" w:ascii="仿宋_GB2312" w:eastAsia="仿宋_GB2312" w:cs="仿宋_GB2312"/>
          <w:color w:val="000000"/>
          <w:kern w:val="0"/>
          <w:sz w:val="32"/>
          <w:szCs w:val="32"/>
          <w:shd w:val="clear" w:color="auto" w:fill="FFFFFF"/>
          <w:lang w:val="en-US" w:eastAsia="zh-CN"/>
        </w:rPr>
        <w:t>建筑、市政专业</w:t>
      </w:r>
      <w:r>
        <w:rPr>
          <w:rFonts w:hint="eastAsia" w:ascii="仿宋_GB2312" w:hAnsi="宋体" w:eastAsia="仿宋_GB2312" w:cs="仿宋_GB2312"/>
          <w:color w:val="000000"/>
          <w:kern w:val="0"/>
          <w:sz w:val="32"/>
          <w:szCs w:val="32"/>
          <w:shd w:val="clear" w:color="auto" w:fill="FFFFFF"/>
          <w:lang w:val="en-US" w:eastAsia="zh-CN"/>
        </w:rPr>
        <w:t>不少于3位人员</w:t>
      </w:r>
      <w:r>
        <w:rPr>
          <w:rFonts w:hint="eastAsia" w:ascii="仿宋_GB2312" w:hAnsi="宋体" w:eastAsia="仿宋_GB2312" w:cs="仿宋_GB2312"/>
          <w:color w:val="000000"/>
          <w:kern w:val="0"/>
          <w:sz w:val="32"/>
          <w:szCs w:val="32"/>
          <w:shd w:val="clear" w:color="auto" w:fill="FFFFFF"/>
          <w:lang w:eastAsia="zh-CN"/>
        </w:rPr>
        <w:t>）</w:t>
      </w: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 xml:space="preserve"> </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5.</w:t>
      </w:r>
      <w:r>
        <w:rPr>
          <w:rFonts w:hint="eastAsia" w:ascii="仿宋_GB2312" w:hAnsi="宋体" w:eastAsia="仿宋_GB2312" w:cs="仿宋_GB2312"/>
          <w:color w:val="000000"/>
          <w:kern w:val="0"/>
          <w:sz w:val="32"/>
          <w:szCs w:val="32"/>
          <w:shd w:val="clear" w:color="auto" w:fill="FFFFFF"/>
        </w:rPr>
        <w:t>派驻现场总监理工程师</w:t>
      </w:r>
      <w:r>
        <w:rPr>
          <w:rFonts w:hint="eastAsia" w:ascii="仿宋_GB2312" w:hAnsi="宋体" w:eastAsia="仿宋_GB2312" w:cs="仿宋_GB2312"/>
          <w:color w:val="000000"/>
          <w:kern w:val="0"/>
          <w:sz w:val="32"/>
          <w:szCs w:val="32"/>
          <w:shd w:val="clear" w:color="auto" w:fill="FFFFFF"/>
          <w:lang w:eastAsia="zh-CN"/>
        </w:rPr>
        <w:t>、</w:t>
      </w:r>
      <w:r>
        <w:rPr>
          <w:rFonts w:hint="eastAsia" w:ascii="仿宋_GB2312" w:hAnsi="宋体" w:eastAsia="仿宋_GB2312" w:cs="仿宋_GB2312"/>
          <w:color w:val="000000"/>
          <w:kern w:val="0"/>
          <w:sz w:val="32"/>
          <w:szCs w:val="32"/>
          <w:shd w:val="clear" w:color="auto" w:fill="FFFFFF"/>
          <w:lang w:val="en-US" w:eastAsia="zh-CN"/>
        </w:rPr>
        <w:t>专业监理工程师</w:t>
      </w:r>
      <w:r>
        <w:rPr>
          <w:rFonts w:hint="eastAsia" w:ascii="仿宋_GB2312" w:hAnsi="宋体" w:eastAsia="仿宋_GB2312" w:cs="仿宋_GB2312"/>
          <w:color w:val="000000"/>
          <w:kern w:val="0"/>
          <w:sz w:val="32"/>
          <w:szCs w:val="32"/>
          <w:shd w:val="clear" w:color="auto" w:fill="FFFFFF"/>
        </w:rPr>
        <w:t>身份证复印件、市政公用工程专业国家注册监理工程师证书复印件、并提供近三个月的社保缴纳证明。</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kern w:val="0"/>
          <w:sz w:val="32"/>
          <w:szCs w:val="32"/>
        </w:rPr>
      </w:pPr>
      <w:r>
        <w:rPr>
          <w:rFonts w:hint="eastAsia" w:ascii="黑体" w:hAnsi="黑体" w:eastAsia="黑体" w:cs="黑体"/>
          <w:kern w:val="0"/>
          <w:sz w:val="32"/>
          <w:szCs w:val="32"/>
        </w:rPr>
        <w:t>三、报价</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val="en-US" w:eastAsia="zh-CN"/>
        </w:rPr>
        <w:t>费率报价</w:t>
      </w:r>
      <w:r>
        <w:rPr>
          <w:rFonts w:hint="eastAsia" w:ascii="仿宋_GB2312" w:hAnsi="宋体" w:eastAsia="仿宋_GB2312" w:cs="宋体"/>
          <w:kern w:val="0"/>
          <w:sz w:val="32"/>
          <w:szCs w:val="32"/>
        </w:rPr>
        <w:t>，最高</w:t>
      </w:r>
      <w:r>
        <w:rPr>
          <w:rFonts w:hint="eastAsia" w:ascii="仿宋_GB2312" w:hAnsi="宋体" w:eastAsia="仿宋_GB2312" w:cs="宋体"/>
          <w:kern w:val="0"/>
          <w:sz w:val="32"/>
          <w:szCs w:val="32"/>
          <w:lang w:val="en-US" w:eastAsia="zh-CN"/>
        </w:rPr>
        <w:t>费率</w:t>
      </w:r>
      <w:r>
        <w:rPr>
          <w:rFonts w:hint="eastAsia" w:ascii="仿宋_GB2312" w:hAnsi="宋体" w:eastAsia="仿宋_GB2312" w:cs="宋体"/>
          <w:kern w:val="0"/>
          <w:sz w:val="32"/>
          <w:szCs w:val="32"/>
        </w:rPr>
        <w:t>不得超过</w:t>
      </w:r>
      <w:r>
        <w:rPr>
          <w:rFonts w:hint="eastAsia" w:ascii="仿宋_GB2312" w:hAnsi="宋体" w:eastAsia="仿宋_GB2312" w:cs="宋体"/>
          <w:kern w:val="0"/>
          <w:sz w:val="32"/>
          <w:szCs w:val="32"/>
          <w:lang w:val="en-US" w:eastAsia="zh-CN"/>
        </w:rPr>
        <w:t>0.8%</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比选文件均需打印或使用不褪色的蓝、黑墨水笔书写，字迹应清晰易于辨认。</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keepNext w:val="0"/>
        <w:keepLines w:val="0"/>
        <w:pageBreakBefore w:val="0"/>
        <w:kinsoku/>
        <w:wordWrap/>
        <w:overflowPunct/>
        <w:topLinePunct w:val="0"/>
        <w:bidi w:val="0"/>
        <w:adjustRightInd/>
        <w:snapToGrid w:val="0"/>
        <w:spacing w:line="600" w:lineRule="exact"/>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w:t>
      </w:r>
      <w:r>
        <w:rPr>
          <w:rFonts w:hint="eastAsia" w:ascii="仿宋_GB2312" w:hAnsi="宋体" w:eastAsia="仿宋_GB2312" w:cs="仿宋_GB2312"/>
          <w:color w:val="000000"/>
          <w:kern w:val="0"/>
          <w:sz w:val="32"/>
          <w:szCs w:val="32"/>
          <w:shd w:val="clear" w:color="auto" w:fill="FFFFFF"/>
          <w:lang w:val="en-US" w:eastAsia="zh-CN"/>
        </w:rPr>
        <w:t>进行胶装</w:t>
      </w:r>
      <w:r>
        <w:rPr>
          <w:rFonts w:hint="eastAsia" w:ascii="仿宋_GB2312" w:hAnsi="宋体" w:eastAsia="仿宋_GB2312" w:cs="仿宋_GB2312"/>
          <w:color w:val="000000"/>
          <w:kern w:val="0"/>
          <w:sz w:val="32"/>
          <w:szCs w:val="32"/>
          <w:shd w:val="clear" w:color="auto" w:fill="FFFFFF"/>
        </w:rPr>
        <w:t>，并编制目录，装订应牢固、不易拆散和换页。</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w:t>
      </w:r>
      <w:r>
        <w:rPr>
          <w:rFonts w:hint="eastAsia" w:ascii="仿宋_GB2312" w:eastAsia="仿宋_GB2312" w:cs="仿宋_GB2312"/>
          <w:kern w:val="0"/>
          <w:sz w:val="32"/>
          <w:szCs w:val="32"/>
          <w:lang w:val="en-US" w:eastAsia="zh-CN"/>
        </w:rPr>
        <w:t>6</w:t>
      </w:r>
      <w:r>
        <w:rPr>
          <w:rFonts w:hint="eastAsia" w:ascii="仿宋_GB2312" w:hAnsi="宋体" w:eastAsia="仿宋_GB2312" w:cs="仿宋_GB2312"/>
          <w:kern w:val="0"/>
          <w:sz w:val="32"/>
          <w:szCs w:val="32"/>
          <w:lang w:eastAsia="zh-CN"/>
        </w:rPr>
        <w:t>月1</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lang w:eastAsia="zh-CN"/>
        </w:rPr>
        <w:t>日</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lang w:eastAsia="zh-CN"/>
        </w:rPr>
        <w:t>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w:t>
      </w:r>
      <w:r>
        <w:rPr>
          <w:rFonts w:hint="eastAsia" w:ascii="仿宋_GB2312" w:eastAsia="仿宋_GB2312" w:cs="仿宋_GB2312"/>
          <w:kern w:val="0"/>
          <w:sz w:val="32"/>
          <w:szCs w:val="32"/>
          <w:lang w:val="en-US" w:eastAsia="zh-CN"/>
        </w:rPr>
        <w:t>6</w:t>
      </w:r>
      <w:r>
        <w:rPr>
          <w:rFonts w:hint="eastAsia" w:ascii="仿宋_GB2312" w:hAnsi="宋体" w:eastAsia="仿宋_GB2312" w:cs="仿宋_GB2312"/>
          <w:kern w:val="0"/>
          <w:sz w:val="32"/>
          <w:szCs w:val="32"/>
          <w:lang w:eastAsia="zh-CN"/>
        </w:rPr>
        <w:t>月1</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lang w:eastAsia="zh-CN"/>
        </w:rPr>
        <w:t>日</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lang w:eastAsia="zh-CN"/>
        </w:rPr>
        <w:t>0时</w:t>
      </w:r>
      <w:r>
        <w:rPr>
          <w:rFonts w:hint="eastAsia" w:ascii="仿宋_GB2312" w:hAnsi="宋体" w:eastAsia="仿宋_GB2312" w:cs="仿宋_GB2312"/>
          <w:kern w:val="0"/>
          <w:sz w:val="32"/>
          <w:szCs w:val="32"/>
        </w:rPr>
        <w:t>之后不再接受比选文件。</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kern w:val="0"/>
          <w:sz w:val="32"/>
          <w:szCs w:val="32"/>
        </w:rPr>
      </w:pPr>
      <w:r>
        <w:rPr>
          <w:rFonts w:hint="eastAsia" w:ascii="黑体" w:hAnsi="黑体" w:eastAsia="黑体" w:cs="黑体"/>
          <w:kern w:val="0"/>
          <w:sz w:val="32"/>
          <w:szCs w:val="32"/>
        </w:rPr>
        <w:t>七、公开比选</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w:t>
      </w:r>
      <w:r>
        <w:rPr>
          <w:rFonts w:hint="eastAsia" w:ascii="仿宋_GB2312" w:eastAsia="仿宋_GB2312" w:cs="仿宋_GB2312"/>
          <w:kern w:val="0"/>
          <w:sz w:val="32"/>
          <w:szCs w:val="32"/>
          <w:lang w:val="en-US" w:eastAsia="zh-CN"/>
        </w:rPr>
        <w:t>6</w:t>
      </w:r>
      <w:r>
        <w:rPr>
          <w:rFonts w:hint="eastAsia" w:ascii="仿宋_GB2312" w:hAnsi="宋体" w:eastAsia="仿宋_GB2312" w:cs="仿宋_GB2312"/>
          <w:kern w:val="0"/>
          <w:sz w:val="32"/>
          <w:szCs w:val="32"/>
          <w:lang w:eastAsia="zh-CN"/>
        </w:rPr>
        <w:t>月1</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lang w:eastAsia="zh-CN"/>
        </w:rPr>
        <w:t>日</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lang w:eastAsia="zh-CN"/>
        </w:rPr>
        <w:t>0时</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w:t>
      </w:r>
      <w:r>
        <w:rPr>
          <w:rFonts w:hint="eastAsia" w:ascii="仿宋_GB2312" w:hAnsi="宋体" w:eastAsia="仿宋_GB2312" w:cs="仿宋_GB2312"/>
          <w:color w:val="000000"/>
          <w:kern w:val="0"/>
          <w:sz w:val="32"/>
          <w:szCs w:val="32"/>
          <w:shd w:val="clear" w:color="auto" w:fill="FFFFFF"/>
          <w:lang w:val="en-US" w:eastAsia="zh-CN"/>
        </w:rPr>
        <w:t>资质审查合格后，</w:t>
      </w:r>
      <w:r>
        <w:rPr>
          <w:rFonts w:hint="eastAsia" w:ascii="仿宋_GB2312" w:hAnsi="宋体" w:eastAsia="仿宋_GB2312" w:cs="仿宋_GB2312"/>
          <w:color w:val="000000"/>
          <w:kern w:val="0"/>
          <w:sz w:val="32"/>
          <w:szCs w:val="32"/>
          <w:shd w:val="clear" w:color="auto" w:fill="FFFFFF"/>
        </w:rPr>
        <w:t>宣读报价，并经参选人授权委托人确认签字。</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pStyle w:val="15"/>
        <w:keepNext w:val="0"/>
        <w:keepLines w:val="0"/>
        <w:pageBreakBefore w:val="0"/>
        <w:numPr>
          <w:ilvl w:val="0"/>
          <w:numId w:val="1"/>
        </w:numPr>
        <w:kinsoku/>
        <w:wordWrap/>
        <w:overflowPunct/>
        <w:topLinePunct w:val="0"/>
        <w:bidi w:val="0"/>
        <w:adjustRightInd/>
        <w:snapToGrid w:val="0"/>
        <w:spacing w:line="600" w:lineRule="exact"/>
        <w:ind w:firstLineChars="0"/>
        <w:textAlignment w:val="auto"/>
        <w:rPr>
          <w:rFonts w:ascii="黑体" w:hAnsi="黑体" w:eastAsia="黑体"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最高限价</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val="en-US" w:eastAsia="zh-CN"/>
        </w:rPr>
        <w:t>费率</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0.8%</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十、</w:t>
      </w:r>
      <w:r>
        <w:rPr>
          <w:rFonts w:hint="eastAsia" w:ascii="黑体" w:hAnsi="黑体" w:eastAsia="黑体" w:cs="黑体"/>
          <w:color w:val="000000"/>
          <w:kern w:val="0"/>
          <w:sz w:val="32"/>
          <w:szCs w:val="32"/>
          <w:shd w:val="clear" w:color="auto" w:fill="FFFFFF"/>
        </w:rPr>
        <w:t>比选原则及主要方法</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keepNext w:val="0"/>
        <w:keepLines w:val="0"/>
        <w:pageBreakBefore w:val="0"/>
        <w:kinsoku/>
        <w:wordWrap/>
        <w:overflowPunct/>
        <w:topLinePunct w:val="0"/>
        <w:bidi w:val="0"/>
        <w:adjustRightInd/>
        <w:spacing w:line="600" w:lineRule="exact"/>
        <w:ind w:firstLine="640" w:firstLineChars="200"/>
        <w:jc w:val="both"/>
        <w:textAlignment w:val="auto"/>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kinsoku/>
        <w:wordWrap/>
        <w:overflowPunct/>
        <w:topLinePunct w:val="0"/>
        <w:bidi w:val="0"/>
        <w:adjustRightInd/>
        <w:spacing w:line="600" w:lineRule="exact"/>
        <w:ind w:firstLine="640" w:firstLineChars="200"/>
        <w:jc w:val="both"/>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keepNext w:val="0"/>
        <w:keepLines w:val="0"/>
        <w:pageBreakBefore w:val="0"/>
        <w:kinsoku/>
        <w:wordWrap/>
        <w:overflowPunct/>
        <w:topLinePunct w:val="0"/>
        <w:bidi w:val="0"/>
        <w:adjustRightInd/>
        <w:spacing w:line="600" w:lineRule="exact"/>
        <w:textAlignment w:val="auto"/>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keepNext w:val="0"/>
        <w:keepLines w:val="0"/>
        <w:pageBreakBefore w:val="0"/>
        <w:kinsoku/>
        <w:wordWrap/>
        <w:overflowPunct/>
        <w:topLinePunct w:val="0"/>
        <w:bidi w:val="0"/>
        <w:adjustRightInd/>
        <w:spacing w:line="600" w:lineRule="exact"/>
        <w:ind w:firstLine="1248" w:firstLineChars="390"/>
        <w:jc w:val="both"/>
        <w:textAlignment w:val="auto"/>
        <w:rPr>
          <w:rFonts w:ascii="仿宋_GB2312" w:eastAsia="仿宋_GB2312" w:cs="仿宋_GB2312"/>
          <w:sz w:val="32"/>
          <w:szCs w:val="32"/>
        </w:rPr>
      </w:pPr>
    </w:p>
    <w:p>
      <w:pPr>
        <w:keepNext w:val="0"/>
        <w:keepLines w:val="0"/>
        <w:pageBreakBefore w:val="0"/>
        <w:kinsoku/>
        <w:wordWrap/>
        <w:overflowPunct/>
        <w:topLinePunct w:val="0"/>
        <w:bidi w:val="0"/>
        <w:adjustRightInd/>
        <w:spacing w:line="600" w:lineRule="exact"/>
        <w:ind w:left="2834" w:leftChars="1288"/>
        <w:jc w:val="center"/>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宁东基地管委会</w:t>
      </w:r>
      <w:r>
        <w:rPr>
          <w:rFonts w:hint="eastAsia" w:ascii="仿宋_GB2312" w:eastAsia="仿宋_GB2312" w:cs="仿宋_GB2312"/>
          <w:sz w:val="32"/>
          <w:szCs w:val="32"/>
          <w:lang w:eastAsia="zh-CN"/>
        </w:rPr>
        <w:t>建设和交</w:t>
      </w:r>
      <w:bookmarkStart w:id="12" w:name="_GoBack"/>
      <w:bookmarkEnd w:id="12"/>
      <w:r>
        <w:rPr>
          <w:rFonts w:hint="eastAsia" w:ascii="仿宋_GB2312" w:eastAsia="仿宋_GB2312" w:cs="仿宋_GB2312"/>
          <w:sz w:val="32"/>
          <w:szCs w:val="32"/>
          <w:lang w:eastAsia="zh-CN"/>
        </w:rPr>
        <w:t>通局</w:t>
      </w:r>
    </w:p>
    <w:p>
      <w:pPr>
        <w:keepNext w:val="0"/>
        <w:keepLines w:val="0"/>
        <w:pageBreakBefore w:val="0"/>
        <w:kinsoku/>
        <w:wordWrap/>
        <w:overflowPunct/>
        <w:topLinePunct w:val="0"/>
        <w:bidi w:val="0"/>
        <w:adjustRightInd/>
        <w:spacing w:line="600" w:lineRule="exact"/>
        <w:ind w:left="2834" w:leftChars="1288"/>
        <w:jc w:val="center"/>
        <w:textAlignment w:val="auto"/>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47A"/>
    <w:multiLevelType w:val="multilevel"/>
    <w:tmpl w:val="1DCF547A"/>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Y0YTJhOGY2MTYyODEyNDA2OWQzZTZmNTMyNmIifQ=="/>
  </w:docVars>
  <w:rsids>
    <w:rsidRoot w:val="0765620B"/>
    <w:rsid w:val="0000150D"/>
    <w:rsid w:val="00093EE9"/>
    <w:rsid w:val="001E7D14"/>
    <w:rsid w:val="003A0277"/>
    <w:rsid w:val="00554EBA"/>
    <w:rsid w:val="00562C1A"/>
    <w:rsid w:val="00BB57F3"/>
    <w:rsid w:val="00CC7A29"/>
    <w:rsid w:val="0765620B"/>
    <w:rsid w:val="097C01D4"/>
    <w:rsid w:val="1483317A"/>
    <w:rsid w:val="163764AA"/>
    <w:rsid w:val="16EE11A3"/>
    <w:rsid w:val="1C4F2035"/>
    <w:rsid w:val="25BC02CF"/>
    <w:rsid w:val="2D9555EA"/>
    <w:rsid w:val="2E7B0F85"/>
    <w:rsid w:val="3140066B"/>
    <w:rsid w:val="37C02372"/>
    <w:rsid w:val="38B11EB1"/>
    <w:rsid w:val="4276565E"/>
    <w:rsid w:val="49C449D2"/>
    <w:rsid w:val="57AF4CBE"/>
    <w:rsid w:val="5F7A3806"/>
    <w:rsid w:val="5FEC2B70"/>
    <w:rsid w:val="66737A2A"/>
    <w:rsid w:val="695A6033"/>
    <w:rsid w:val="69CD23ED"/>
    <w:rsid w:val="6F496970"/>
    <w:rsid w:val="7305176F"/>
    <w:rsid w:val="7F2A2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8"/>
      <w:szCs w:val="24"/>
    </w:rPr>
  </w:style>
  <w:style w:type="paragraph" w:styleId="5">
    <w:name w:val="annotation text"/>
    <w:basedOn w:val="1"/>
    <w:qFormat/>
    <w:uiPriority w:val="0"/>
    <w:pPr>
      <w:jc w:val="left"/>
    </w:pPr>
  </w:style>
  <w:style w:type="paragraph" w:styleId="6">
    <w:name w:val="footer"/>
    <w:basedOn w:val="1"/>
    <w:link w:val="13"/>
    <w:qFormat/>
    <w:uiPriority w:val="0"/>
    <w:pPr>
      <w:tabs>
        <w:tab w:val="center" w:pos="4153"/>
        <w:tab w:val="right" w:pos="8306"/>
      </w:tabs>
      <w:snapToGrid w:val="0"/>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2"/>
    <w:qFormat/>
    <w:uiPriority w:val="0"/>
    <w:pPr>
      <w:ind w:firstLine="420" w:firstLineChars="100"/>
    </w:pPr>
  </w:style>
  <w:style w:type="character" w:customStyle="1" w:styleId="12">
    <w:name w:val="页眉 Char"/>
    <w:basedOn w:val="11"/>
    <w:link w:val="7"/>
    <w:qFormat/>
    <w:uiPriority w:val="0"/>
    <w:rPr>
      <w:rFonts w:ascii="宋体" w:hAnsi="宋体" w:eastAsia="宋体" w:cs="宋体"/>
      <w:sz w:val="18"/>
      <w:szCs w:val="18"/>
      <w:lang w:val="zh-CN"/>
    </w:rPr>
  </w:style>
  <w:style w:type="character" w:customStyle="1" w:styleId="13">
    <w:name w:val="页脚 Char"/>
    <w:basedOn w:val="11"/>
    <w:link w:val="6"/>
    <w:qFormat/>
    <w:uiPriority w:val="0"/>
    <w:rPr>
      <w:rFonts w:ascii="宋体" w:hAnsi="宋体" w:eastAsia="宋体" w:cs="宋体"/>
      <w:sz w:val="18"/>
      <w:szCs w:val="18"/>
      <w:lang w:val="zh-CN"/>
    </w:rPr>
  </w:style>
  <w:style w:type="paragraph" w:customStyle="1" w:styleId="14">
    <w:name w:val="吴涛正文"/>
    <w:basedOn w:val="1"/>
    <w:qFormat/>
    <w:uiPriority w:val="0"/>
    <w:pPr>
      <w:jc w:val="left"/>
    </w:pPr>
    <w:rPr>
      <w:rFonts w:eastAsia="宋体"/>
    </w:rPr>
  </w:style>
  <w:style w:type="paragraph" w:styleId="15">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1315</Words>
  <Characters>1369</Characters>
  <Lines>185</Lines>
  <Paragraphs>101</Paragraphs>
  <TotalTime>3</TotalTime>
  <ScaleCrop>false</ScaleCrop>
  <LinksUpToDate>false</LinksUpToDate>
  <CharactersWithSpaces>1384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2021-08-16T02:00:00Z</dcterms:created>
  <dc:creator>妥。</dc:creator>
  <cp:lastModifiedBy>建设和交通局</cp:lastModifiedBy>
  <dcterms:modified xsi:type="dcterms:W3CDTF">2022-06-14T03:31:47Z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98130D79079D47C9BCFD9FCFCFFF0CE8</vt:lpwstr>
  </property>
</Properties>
</file>