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万华化学（宁夏）有限公司30万吨/年MDI分离项目出入口10KV架空线路迁改工作</w:t>
      </w:r>
      <w:r>
        <w:rPr>
          <w:rFonts w:hint="eastAsia" w:ascii="方正小标宋简体" w:hAnsi="方正小标宋简体" w:eastAsia="方正小标宋简体" w:cs="方正小标宋简体"/>
          <w:sz w:val="44"/>
          <w:szCs w:val="44"/>
        </w:rPr>
        <w:t>监理</w:t>
      </w:r>
      <w:r>
        <w:rPr>
          <w:rFonts w:hint="eastAsia" w:eastAsia="方正小标宋简体" w:cs="方正小标宋简体"/>
          <w:sz w:val="44"/>
          <w:szCs w:val="44"/>
        </w:rPr>
        <w:t>单位</w:t>
      </w:r>
    </w:p>
    <w:p>
      <w:pPr>
        <w:pStyle w:val="2"/>
        <w:rPr>
          <w:rFonts w:hint="eastAsia" w:eastAsia="方正小标宋简体" w:cs="方正小标宋简体"/>
          <w:sz w:val="44"/>
          <w:szCs w:val="44"/>
        </w:rPr>
      </w:pPr>
    </w:p>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9</w:t>
      </w:r>
      <w:r>
        <w:rPr>
          <w:rFonts w:hint="eastAsia" w:ascii="仿宋_GB2312" w:hAnsi="微软雅黑" w:eastAsia="仿宋_GB2312" w:cs="宋体"/>
          <w:sz w:val="36"/>
          <w:szCs w:val="36"/>
        </w:rPr>
        <w:t>月</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eastAsia="zh-CN"/>
        </w:rPr>
      </w:pPr>
      <w:r>
        <w:rPr>
          <w:rFonts w:hint="eastAsia" w:ascii="方正小标宋简体" w:eastAsia="方正小标宋简体" w:cs="方正小标宋简体"/>
          <w:sz w:val="44"/>
          <w:szCs w:val="44"/>
          <w:lang w:val="en-US" w:eastAsia="zh-CN"/>
        </w:rPr>
        <w:t>万华化学（宁夏）有限公司30万吨/年MDI分离项目出入口10KV架空线路迁改工作</w:t>
      </w:r>
      <w:r>
        <w:rPr>
          <w:rFonts w:hint="eastAsia" w:ascii="方正小标宋简体" w:eastAsia="方正小标宋简体" w:cs="方正小标宋简体"/>
          <w:sz w:val="44"/>
          <w:szCs w:val="44"/>
        </w:rPr>
        <w:t>监理</w:t>
      </w:r>
      <w:r>
        <w:rPr>
          <w:rFonts w:hint="eastAsia" w:ascii="方正小标宋简体" w:hAnsi="方正小标宋简体" w:eastAsia="方正小标宋简体" w:cs="方正小标宋简体"/>
          <w:sz w:val="44"/>
          <w:szCs w:val="44"/>
        </w:rPr>
        <w:t>单位</w:t>
      </w:r>
      <w:r>
        <w:rPr>
          <w:rFonts w:hint="eastAsia" w:ascii="方正小标宋简体" w:eastAsia="方正小标宋简体" w:cs="方正小标宋简体"/>
          <w:sz w:val="44"/>
          <w:szCs w:val="44"/>
        </w:rPr>
        <w:t>比选</w:t>
      </w:r>
      <w:bookmarkStart w:id="0" w:name="_GoBack"/>
      <w:bookmarkEnd w:id="0"/>
      <w:r>
        <w:rPr>
          <w:rFonts w:hint="eastAsia" w:ascii="方正小标宋简体" w:eastAsia="方正小标宋简体" w:cs="方正小标宋简体"/>
          <w:sz w:val="44"/>
          <w:szCs w:val="44"/>
          <w:lang w:eastAsia="zh-CN"/>
        </w:rPr>
        <w:t>文件</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cs="仿宋_GB2312"/>
          <w:sz w:val="32"/>
          <w:szCs w:val="32"/>
          <w:lang w:val="en-US" w:eastAsia="zh-CN"/>
        </w:rPr>
        <w:t>万华化学（宁夏）有限公司30万吨/年MDI分离项目出入口10KV架空线路迁改工作</w:t>
      </w:r>
      <w:r>
        <w:rPr>
          <w:rFonts w:hint="eastAsia" w:ascii="仿宋_GB2312" w:eastAsia="仿宋_GB2312"/>
          <w:sz w:val="32"/>
          <w:szCs w:val="32"/>
          <w:lang w:eastAsia="zh-CN"/>
        </w:rPr>
        <w:t>监理单位</w:t>
      </w:r>
      <w:r>
        <w:rPr>
          <w:rFonts w:hint="eastAsia" w:ascii="仿宋_GB2312" w:eastAsia="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adjustRightInd w:val="0"/>
        <w:snapToGrid w:val="0"/>
        <w:spacing w:line="560" w:lineRule="exact"/>
        <w:ind w:firstLine="645"/>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工作名称</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cs="仿宋_GB2312"/>
          <w:sz w:val="32"/>
          <w:szCs w:val="32"/>
          <w:lang w:val="en-US" w:eastAsia="zh-CN"/>
        </w:rPr>
        <w:t>万华化学（宁夏）有限公司30万吨/年MDI分离项目出入口10KV架空线路迁改工作</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w:t>
      </w:r>
      <w:r>
        <w:rPr>
          <w:rFonts w:hint="eastAsia" w:ascii="仿宋_GB2312" w:hAnsi="宋体" w:eastAsia="仿宋_GB2312" w:cs="仿宋_GB2312"/>
          <w:color w:val="000000"/>
          <w:kern w:val="0"/>
          <w:sz w:val="32"/>
          <w:szCs w:val="32"/>
          <w:shd w:val="clear" w:color="auto" w:fill="FFFFFF"/>
          <w:lang w:eastAsia="zh-CN"/>
        </w:rPr>
        <w:t>管委会建设和交通</w:t>
      </w:r>
      <w:r>
        <w:rPr>
          <w:rFonts w:hint="eastAsia" w:ascii="仿宋_GB2312" w:hAnsi="宋体" w:eastAsia="仿宋_GB2312" w:cs="仿宋_GB2312"/>
          <w:color w:val="000000"/>
          <w:kern w:val="0"/>
          <w:sz w:val="32"/>
          <w:szCs w:val="32"/>
          <w:shd w:val="clear" w:color="auto" w:fill="FFFFFF"/>
        </w:rPr>
        <w:t>局</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工作地点：</w:t>
      </w:r>
      <w:r>
        <w:rPr>
          <w:rFonts w:hint="eastAsia" w:ascii="仿宋_GB2312" w:hAnsi="宋体" w:eastAsia="仿宋_GB2312" w:cs="仿宋_GB2312"/>
          <w:color w:val="000000"/>
          <w:kern w:val="0"/>
          <w:sz w:val="32"/>
          <w:szCs w:val="32"/>
          <w:shd w:val="clear" w:color="auto" w:fill="FFFFFF"/>
        </w:rPr>
        <w:t>宁东基地</w:t>
      </w:r>
      <w:r>
        <w:rPr>
          <w:rFonts w:hint="eastAsia" w:ascii="仿宋_GB2312" w:hAnsi="宋体" w:eastAsia="仿宋_GB2312" w:cs="仿宋_GB2312"/>
          <w:color w:val="000000"/>
          <w:kern w:val="0"/>
          <w:sz w:val="32"/>
          <w:szCs w:val="32"/>
          <w:shd w:val="clear" w:color="auto" w:fill="FFFFFF"/>
          <w:lang w:eastAsia="zh-CN"/>
        </w:rPr>
        <w:t>煤化工</w:t>
      </w:r>
      <w:r>
        <w:rPr>
          <w:rFonts w:hint="eastAsia" w:ascii="仿宋_GB2312" w:hAnsi="宋体" w:eastAsia="仿宋_GB2312" w:cs="仿宋_GB2312"/>
          <w:color w:val="000000"/>
          <w:kern w:val="0"/>
          <w:sz w:val="32"/>
          <w:szCs w:val="32"/>
          <w:shd w:val="clear" w:color="auto" w:fill="FFFFFF"/>
        </w:rPr>
        <w:t>园区</w:t>
      </w:r>
    </w:p>
    <w:p>
      <w:pPr>
        <w:snapToGrid w:val="0"/>
        <w:spacing w:line="560" w:lineRule="exact"/>
        <w:ind w:firstLine="643" w:firstLineChars="200"/>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：自监理合同签订之日起至</w:t>
      </w:r>
      <w:r>
        <w:rPr>
          <w:rFonts w:hint="eastAsia" w:ascii="仿宋_GB2312" w:hAnsi="宋体" w:eastAsia="仿宋_GB2312" w:cs="仿宋_GB2312"/>
          <w:color w:val="000000"/>
          <w:kern w:val="0"/>
          <w:sz w:val="32"/>
          <w:szCs w:val="32"/>
          <w:shd w:val="clear" w:color="auto" w:fill="FFFFFF"/>
          <w:lang w:eastAsia="zh-CN"/>
        </w:rPr>
        <w:t>工作验收结束</w:t>
      </w:r>
    </w:p>
    <w:p>
      <w:pPr>
        <w:snapToGrid w:val="0"/>
        <w:spacing w:line="560" w:lineRule="exact"/>
        <w:ind w:firstLine="643" w:firstLineChars="200"/>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eastAsia="zh-CN"/>
        </w:rPr>
        <w:t>工作费用：</w:t>
      </w:r>
      <w:r>
        <w:rPr>
          <w:rFonts w:hint="eastAsia" w:ascii="仿宋_GB2312" w:hAnsi="宋体" w:eastAsia="仿宋_GB2312" w:cs="仿宋_GB2312"/>
          <w:color w:val="000000"/>
          <w:kern w:val="0"/>
          <w:sz w:val="32"/>
          <w:szCs w:val="32"/>
          <w:shd w:val="clear" w:color="auto" w:fill="FFFFFF"/>
          <w:lang w:eastAsia="zh-CN"/>
        </w:rPr>
        <w:t>估算总投资</w:t>
      </w:r>
      <w:r>
        <w:rPr>
          <w:rFonts w:hint="eastAsia" w:ascii="仿宋_GB2312" w:hAnsi="宋体" w:eastAsia="仿宋_GB2312" w:cs="仿宋_GB2312"/>
          <w:color w:val="000000"/>
          <w:kern w:val="0"/>
          <w:sz w:val="32"/>
          <w:szCs w:val="32"/>
          <w:shd w:val="clear" w:color="auto" w:fill="FFFFFF"/>
          <w:lang w:val="en-US" w:eastAsia="zh-CN"/>
        </w:rPr>
        <w:t>346万元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5.派驻现场</w:t>
      </w:r>
      <w:r>
        <w:rPr>
          <w:rFonts w:hint="eastAsia" w:ascii="仿宋_GB2312" w:hAnsi="宋体" w:eastAsia="仿宋_GB2312" w:cs="宋体"/>
          <w:color w:val="000000"/>
          <w:kern w:val="0"/>
          <w:sz w:val="32"/>
          <w:szCs w:val="32"/>
          <w:shd w:val="clear" w:color="auto" w:fill="FFFFFF"/>
          <w:lang w:eastAsia="zh-CN"/>
        </w:rPr>
        <w:t>总监理工程师</w:t>
      </w:r>
      <w:r>
        <w:rPr>
          <w:rFonts w:hint="eastAsia" w:ascii="仿宋_GB2312" w:hAnsi="宋体" w:eastAsia="仿宋_GB2312" w:cs="宋体"/>
          <w:color w:val="000000"/>
          <w:kern w:val="0"/>
          <w:sz w:val="32"/>
          <w:szCs w:val="32"/>
          <w:shd w:val="clear" w:color="auto" w:fill="FFFFFF"/>
          <w:lang w:val="en-US" w:eastAsia="zh-CN"/>
        </w:rPr>
        <w:t>人员</w:t>
      </w:r>
      <w:r>
        <w:rPr>
          <w:rFonts w:hint="eastAsia" w:ascii="仿宋_GB2312" w:hAnsi="宋体" w:eastAsia="仿宋_GB2312" w:cs="宋体"/>
          <w:color w:val="000000"/>
          <w:kern w:val="0"/>
          <w:sz w:val="32"/>
          <w:szCs w:val="32"/>
          <w:shd w:val="clear" w:color="auto" w:fill="FFFFFF"/>
        </w:rPr>
        <w:t>身份证复印件、</w:t>
      </w:r>
      <w:r>
        <w:rPr>
          <w:rFonts w:hint="eastAsia" w:ascii="仿宋_GB2312" w:hAnsi="宋体" w:eastAsia="仿宋_GB2312" w:cs="宋体"/>
          <w:color w:val="000000"/>
          <w:kern w:val="0"/>
          <w:sz w:val="32"/>
          <w:szCs w:val="32"/>
          <w:shd w:val="clear" w:color="auto" w:fill="FFFFFF"/>
          <w:lang w:eastAsia="zh-CN"/>
        </w:rPr>
        <w:t>（专业证书）</w:t>
      </w:r>
      <w:r>
        <w:rPr>
          <w:rFonts w:hint="eastAsia" w:ascii="仿宋_GB2312" w:hAnsi="宋体" w:eastAsia="仿宋_GB2312" w:cs="宋体"/>
          <w:color w:val="000000"/>
          <w:kern w:val="0"/>
          <w:sz w:val="32"/>
          <w:szCs w:val="32"/>
          <w:shd w:val="clear" w:color="auto" w:fill="FFFFFF"/>
        </w:rPr>
        <w:t>、并提供近三个月的社保缴纳证明。</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本次为费率报价，最高报价不得超过工作费用的</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%，最终监理费以工作结算定案价为准</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两份比选文件应装订成册，并编制目录，装订应牢固、不易拆散和换页。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2022年9月9日10:00时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2022年9月9日10:00时</w:t>
      </w:r>
      <w:r>
        <w:rPr>
          <w:rFonts w:hint="eastAsia" w:ascii="仿宋_GB2312" w:hAnsi="宋体" w:eastAsia="仿宋_GB2312" w:cs="仿宋_GB2312"/>
          <w:kern w:val="0"/>
          <w:sz w:val="32"/>
          <w:szCs w:val="32"/>
        </w:rPr>
        <w:t>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2022年9月9日10:00时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八、</w:t>
      </w: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DBmYjAyMzZkMjEwMDAzN2Q2NGVjNTFkNzIyYTQifQ=="/>
  </w:docVars>
  <w:rsids>
    <w:rsidRoot w:val="003C5160"/>
    <w:rsid w:val="0038189E"/>
    <w:rsid w:val="0039743A"/>
    <w:rsid w:val="003C5160"/>
    <w:rsid w:val="00942BC9"/>
    <w:rsid w:val="00C22C5E"/>
    <w:rsid w:val="00E75FBB"/>
    <w:rsid w:val="0130300C"/>
    <w:rsid w:val="06D3120C"/>
    <w:rsid w:val="118A56CB"/>
    <w:rsid w:val="11D743C4"/>
    <w:rsid w:val="2269311A"/>
    <w:rsid w:val="29B919ED"/>
    <w:rsid w:val="36574FB4"/>
    <w:rsid w:val="3A874696"/>
    <w:rsid w:val="3F6E10A9"/>
    <w:rsid w:val="4296466B"/>
    <w:rsid w:val="6A5838B6"/>
    <w:rsid w:val="6B7A76EF"/>
    <w:rsid w:val="6D0F0D3F"/>
    <w:rsid w:val="6D1622C3"/>
    <w:rsid w:val="784E7C29"/>
    <w:rsid w:val="7A9843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1778</Words>
  <Characters>1889</Characters>
  <Lines>0</Lines>
  <Paragraphs>0</Paragraphs>
  <TotalTime>6</TotalTime>
  <ScaleCrop>false</ScaleCrop>
  <LinksUpToDate>false</LinksUpToDate>
  <CharactersWithSpaces>1912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Administrator</cp:lastModifiedBy>
  <dcterms:modified xsi:type="dcterms:W3CDTF">2022-09-05T03:51:33Z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B72F8DBBF8574CABB342D5409B551051</vt:lpwstr>
  </property>
</Properties>
</file>