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jc w:val="both"/>
        <w:rPr>
          <w:rFonts w:cs="Times New Roman"/>
        </w:rPr>
      </w:pPr>
    </w:p>
    <w:p>
      <w:pPr>
        <w:spacing w:line="360" w:lineRule="auto"/>
        <w:jc w:val="center"/>
        <w:rPr>
          <w:rFonts w:ascii="方正小标宋简体" w:hAnsi="方正小标宋简体" w:eastAsia="方正小标宋简体" w:cs="Times New Roman"/>
          <w:sz w:val="72"/>
          <w:szCs w:val="72"/>
          <w:lang w:val="en-US"/>
        </w:rPr>
      </w:pPr>
      <w:bookmarkStart w:id="0" w:name="page3"/>
      <w:bookmarkEnd w:id="0"/>
      <w:r>
        <w:rPr>
          <w:rFonts w:hint="eastAsia" w:ascii="方正小标宋简体" w:hAnsi="方正小标宋简体" w:eastAsia="方正小标宋简体" w:cs="方正小标宋简体"/>
          <w:sz w:val="44"/>
          <w:szCs w:val="44"/>
          <w:lang w:val="en-US"/>
        </w:rPr>
        <w:t>企业安全生产信息化云平台系统</w:t>
      </w:r>
    </w:p>
    <w:p>
      <w:pPr>
        <w:spacing w:line="360" w:lineRule="auto"/>
        <w:jc w:val="center"/>
        <w:rPr>
          <w:rFonts w:hint="eastAsia" w:ascii="方正小标宋简体" w:hAnsi="方正小标宋简体" w:eastAsia="方正小标宋简体" w:cs="方正小标宋简体"/>
          <w:sz w:val="72"/>
          <w:szCs w:val="72"/>
        </w:rPr>
      </w:pPr>
    </w:p>
    <w:p>
      <w:pPr>
        <w:spacing w:line="360" w:lineRule="auto"/>
        <w:jc w:val="center"/>
        <w:rPr>
          <w:rFonts w:hint="eastAsia" w:ascii="方正小标宋简体" w:hAnsi="方正小标宋简体" w:eastAsia="方正小标宋简体" w:cs="方正小标宋简体"/>
          <w:sz w:val="72"/>
          <w:szCs w:val="72"/>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pStyle w:val="2"/>
      </w:pPr>
    </w:p>
    <w:p/>
    <w:p>
      <w:pPr>
        <w:pStyle w:val="2"/>
      </w:pPr>
    </w:p>
    <w:p/>
    <w:p/>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编制单位：宁夏宁东科技创业投资有限公司</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22</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9</w:t>
      </w:r>
      <w:r>
        <w:rPr>
          <w:rFonts w:hint="eastAsia" w:ascii="仿宋_GB2312" w:hAnsi="微软雅黑" w:eastAsia="仿宋_GB2312" w:cs="仿宋_GB2312"/>
          <w:color w:val="333333"/>
          <w:sz w:val="36"/>
          <w:szCs w:val="36"/>
        </w:rPr>
        <w:t>月</w:t>
      </w:r>
      <w:bookmarkStart w:id="1" w:name="page4"/>
      <w:bookmarkEnd w:id="1"/>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企业安全生产信息化云平台系统比选公告</w:t>
      </w:r>
    </w:p>
    <w:p>
      <w:pPr>
        <w:rPr>
          <w:lang w:val="en-US"/>
        </w:rPr>
      </w:pPr>
    </w:p>
    <w:p>
      <w:pPr>
        <w:widowControl/>
        <w:autoSpaceDE/>
        <w:autoSpaceDN/>
        <w:spacing w:line="600" w:lineRule="exact"/>
        <w:ind w:firstLine="640" w:firstLineChars="200"/>
        <w:rPr>
          <w:rFonts w:ascii="仿宋_GB2312" w:eastAsia="仿宋_GB2312" w:cs="仿宋_GB2312"/>
          <w:sz w:val="32"/>
          <w:szCs w:val="32"/>
          <w:lang w:val="en-US"/>
        </w:rPr>
      </w:pPr>
      <w:r>
        <w:rPr>
          <w:rFonts w:hint="eastAsia" w:ascii="仿宋_GB2312" w:eastAsia="仿宋_GB2312" w:cs="仿宋_GB2312"/>
          <w:sz w:val="32"/>
          <w:szCs w:val="32"/>
        </w:rPr>
        <w:t>按照《宁东能源化工基地管委会政府投资项目招标投标管理监督暂行办法》和《宁东能源化工基地管委会政府投资项目招标投标管理监督暂行办法的补充规定》的有关要求，</w:t>
      </w:r>
      <w:r>
        <w:rPr>
          <w:rFonts w:hint="eastAsia" w:ascii="仿宋_GB2312"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定企业安全生产信息化云平台系统</w:t>
      </w:r>
      <w:r>
        <w:rPr>
          <w:rFonts w:hint="eastAsia" w:ascii="仿宋_GB2312" w:eastAsia="仿宋_GB2312" w:cs="仿宋_GB2312"/>
          <w:color w:val="000000"/>
          <w:sz w:val="32"/>
          <w:szCs w:val="32"/>
          <w:shd w:val="clear" w:color="auto" w:fill="FFFFFF"/>
          <w:lang w:val="en-US"/>
        </w:rPr>
        <w:t>供应商</w:t>
      </w:r>
      <w:r>
        <w:rPr>
          <w:rFonts w:hint="eastAsia" w:ascii="仿宋_GB2312" w:eastAsia="仿宋_GB2312" w:cs="仿宋_GB2312"/>
          <w:sz w:val="32"/>
          <w:szCs w:val="32"/>
        </w:rPr>
        <w:t>。</w:t>
      </w:r>
      <w:r>
        <w:rPr>
          <w:rFonts w:hint="eastAsia" w:ascii="仿宋_GB2312" w:eastAsia="仿宋_GB2312" w:cs="仿宋_GB2312"/>
          <w:sz w:val="32"/>
          <w:szCs w:val="32"/>
          <w:lang w:val="en-US"/>
        </w:rPr>
        <w:t>现将相关事宜公告如下：</w:t>
      </w:r>
    </w:p>
    <w:p>
      <w:pPr>
        <w:spacing w:line="60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一、工程概况</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项目名称：企业安全生产信息化云平台系统</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pPr>
        <w:pStyle w:val="9"/>
        <w:widowControl/>
        <w:autoSpaceDE/>
        <w:autoSpaceDN/>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项目地点：</w:t>
      </w:r>
      <w:r>
        <w:rPr>
          <w:rFonts w:hint="eastAsia" w:ascii="仿宋_GB2312" w:hAnsi="仿宋_GB2312" w:eastAsia="仿宋_GB2312" w:cs="仿宋_GB2312"/>
          <w:sz w:val="32"/>
          <w:szCs w:val="32"/>
        </w:rPr>
        <w:t>宁夏回族自治区银川市宁夏宁东环保产业园区北区环北六路北段</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建设规模：企业安全管理基础信息及数据采集、教育培训、视频智能算法、设备管理、企业安全生产及重大危险源管理系统</w:t>
      </w:r>
      <w:r>
        <w:rPr>
          <w:rFonts w:hint="eastAsia" w:ascii="仿宋_GB2312" w:hAnsi="仿宋_GB2312" w:eastAsia="仿宋_GB2312" w:cs="仿宋_GB2312"/>
          <w:sz w:val="32"/>
          <w:szCs w:val="32"/>
          <w:lang w:val="en-US" w:eastAsia="zh-CN"/>
        </w:rPr>
        <w:t>、人员定位等</w:t>
      </w:r>
      <w:r>
        <w:rPr>
          <w:rFonts w:ascii="仿宋_GB2312" w:hAnsi="仿宋_GB2312" w:eastAsia="仿宋_GB2312" w:cs="仿宋_GB2312"/>
          <w:sz w:val="32"/>
          <w:szCs w:val="32"/>
        </w:rPr>
        <w:t>软件。</w:t>
      </w: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项目概算总投资：53万元。</w:t>
      </w:r>
    </w:p>
    <w:p>
      <w:pPr>
        <w:pStyle w:val="9"/>
        <w:widowControl/>
        <w:autoSpaceDE/>
        <w:autoSpaceDN/>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软件功能模块：</w:t>
      </w:r>
    </w:p>
    <w:p>
      <w:pPr>
        <w:pStyle w:val="9"/>
        <w:widowControl/>
        <w:autoSpaceDE/>
        <w:autoSpaceDN/>
        <w:spacing w:line="600" w:lineRule="exact"/>
        <w:ind w:firstLine="640" w:firstLineChars="200"/>
        <w:rPr>
          <w:rFonts w:ascii="仿宋_GB2312" w:hAnsi="仿宋_GB2312" w:eastAsia="仿宋_GB2312" w:cs="仿宋_GB2312"/>
          <w:color w:val="000000"/>
          <w:sz w:val="32"/>
          <w:szCs w:val="32"/>
        </w:rPr>
      </w:pPr>
    </w:p>
    <w:tbl>
      <w:tblPr>
        <w:tblStyle w:val="12"/>
        <w:tblW w:w="8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1"/>
        <w:gridCol w:w="2381"/>
        <w:gridCol w:w="3153"/>
        <w:gridCol w:w="1093"/>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系统名称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功能模块</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数量（套）</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220" w:firstLineChars="1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双重预防系统平台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个人工作平台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双预控基础管理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效果评估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考核管理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双预控预警管理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安全风险分级管控系统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隐患治理系统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数据统计</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大屏展示</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企业驾驶舱（大屏展示）</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厂区数据一览表</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11</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人员实时位置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主要功能栏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区域操作栏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快速搜索栏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数据界面切换以及退出按钮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危险化学品企业安全风险智能化管控平台数据体系</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17</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安全管理基础信息及数据采集）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实时数据库</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数据采集和存储</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生产过程监视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趋势分析</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21</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历史回放</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设备状态监测</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事件与报警管理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24</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660" w:firstLineChars="3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教育培训</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安全培训</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安全文档</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440" w:firstLineChars="2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视频监控加算法</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视频智能算法（烟雾、明火、安全帽）</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20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等线" w:hAnsi="等线" w:eastAsia="等线" w:cs="等线"/>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27</w:t>
            </w:r>
          </w:p>
        </w:tc>
        <w:tc>
          <w:tcPr>
            <w:tcW w:w="238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设备管理系统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28</w:t>
            </w:r>
          </w:p>
        </w:tc>
        <w:tc>
          <w:tcPr>
            <w:tcW w:w="2381" w:type="dxa"/>
            <w:vMerge w:val="continue"/>
            <w:tcBorders>
              <w:left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巡点检管理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不含设备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29</w:t>
            </w:r>
          </w:p>
        </w:tc>
        <w:tc>
          <w:tcPr>
            <w:tcW w:w="2381" w:type="dxa"/>
            <w:vMerge w:val="continue"/>
            <w:tcBorders>
              <w:left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预防性维护</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30</w:t>
            </w:r>
          </w:p>
        </w:tc>
        <w:tc>
          <w:tcPr>
            <w:tcW w:w="238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缺陷管理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31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安全生产管理系统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门禁管理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重大危险源监测预警</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安全风险分区管理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人员在岗在位管理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企业生产全流程管理系统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36</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安全诊断</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37</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八大作业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38</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库存管理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进货管理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出货管理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40</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统计分析</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41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能源管理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能源管理中心</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生产实时监控</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能源质量管理</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重点耗能设备管理</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bl>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2个类似项目</w:t>
      </w:r>
      <w:r>
        <w:rPr>
          <w:rFonts w:hint="eastAsia" w:ascii="仿宋_GB2312" w:eastAsia="仿宋_GB2312" w:cs="仿宋_GB2312"/>
          <w:sz w:val="32"/>
          <w:szCs w:val="32"/>
        </w:rPr>
        <w:t>业绩（以合同复印件</w:t>
      </w:r>
      <w:r>
        <w:rPr>
          <w:rFonts w:hint="eastAsia" w:ascii="仿宋_GB2312" w:eastAsia="仿宋_GB2312" w:cs="仿宋_GB2312"/>
          <w:sz w:val="32"/>
          <w:szCs w:val="32"/>
          <w:lang w:val="en-US"/>
        </w:rPr>
        <w:t>加盖公章</w:t>
      </w:r>
      <w:r>
        <w:rPr>
          <w:rFonts w:hint="eastAsia" w:ascii="仿宋_GB2312" w:eastAsia="仿宋_GB2312" w:cs="仿宋_GB2312"/>
          <w:sz w:val="32"/>
          <w:szCs w:val="32"/>
        </w:rPr>
        <w:t>为准）。</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五</w:t>
      </w:r>
      <w:r>
        <w:rPr>
          <w:rFonts w:hint="eastAsia" w:ascii="仿宋_GB2312" w:eastAsia="仿宋_GB2312" w:cs="仿宋_GB2312"/>
          <w:sz w:val="32"/>
          <w:szCs w:val="32"/>
        </w:rPr>
        <w:t>）业绩证明文件。</w:t>
      </w:r>
    </w:p>
    <w:p>
      <w:pPr>
        <w:spacing w:line="600" w:lineRule="exact"/>
        <w:ind w:left="638" w:leftChars="29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（一）适用范围</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hAnsi="仿宋_GB2312" w:eastAsia="仿宋_GB2312" w:cs="仿宋_GB2312"/>
          <w:sz w:val="32"/>
          <w:szCs w:val="32"/>
          <w:lang w:val="en-US"/>
        </w:rPr>
        <w:t>企业工业互联网+安全生产信息系统软件采购项目供应商</w:t>
      </w:r>
      <w:r>
        <w:rPr>
          <w:rFonts w:hint="eastAsia" w:ascii="仿宋_GB2312" w:hAnsi="仿宋_GB2312" w:eastAsia="仿宋_GB2312" w:cs="仿宋_GB2312"/>
          <w:sz w:val="32"/>
          <w:szCs w:val="32"/>
        </w:rPr>
        <w:t>比选工作。</w:t>
      </w:r>
    </w:p>
    <w:p>
      <w:pPr>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日上</w:t>
      </w:r>
      <w:r>
        <w:rPr>
          <w:rFonts w:hint="eastAsia" w:ascii="仿宋_GB2312" w:hAnsi="仿宋_GB2312" w:eastAsia="仿宋_GB2312" w:cs="仿宋_GB2312"/>
          <w:color w:val="000000" w:themeColor="text1"/>
          <w:sz w:val="32"/>
          <w:szCs w:val="32"/>
          <w:lang w:val="en-US"/>
          <w14:textFill>
            <w14:solidFill>
              <w14:schemeClr w14:val="tx1"/>
            </w14:solidFill>
          </w14:textFill>
        </w:rPr>
        <w:t>午1</w:t>
      </w:r>
      <w:r>
        <w:rPr>
          <w:rFonts w:ascii="仿宋_GB2312" w:hAnsi="仿宋_GB2312" w:eastAsia="仿宋_GB2312" w:cs="仿宋_GB2312"/>
          <w:color w:val="000000" w:themeColor="text1"/>
          <w:sz w:val="32"/>
          <w:szCs w:val="32"/>
          <w:lang w:val="en-US"/>
          <w14:textFill>
            <w14:solidFill>
              <w14:schemeClr w14:val="tx1"/>
            </w14:solidFill>
          </w14:textFill>
        </w:rPr>
        <w:t>1:</w:t>
      </w:r>
      <w:r>
        <w:rPr>
          <w:rFonts w:hint="eastAsia" w:ascii="仿宋_GB2312" w:hAnsi="仿宋_GB2312" w:eastAsia="仿宋_GB2312" w:cs="仿宋_GB2312"/>
          <w:color w:val="000000" w:themeColor="text1"/>
          <w:sz w:val="32"/>
          <w:szCs w:val="32"/>
          <w:lang w:val="en-US"/>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由宁夏宁东科技创业投资有限公司采购领导小组和采购监督领导小组成员组成。</w:t>
      </w:r>
    </w:p>
    <w:p>
      <w:pPr>
        <w:widowControl/>
        <w:shd w:val="clear" w:color="auto" w:fill="FFFFFF"/>
        <w:autoSpaceDE/>
        <w:autoSpaceDN/>
        <w:spacing w:line="60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宁东科技孵化园四楼会议室</w:t>
      </w:r>
    </w:p>
    <w:p>
      <w:pPr>
        <w:spacing w:line="600" w:lineRule="exact"/>
        <w:ind w:firstLine="640" w:firstLineChars="200"/>
        <w:jc w:val="both"/>
        <w:rPr>
          <w:rFonts w:asci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联系人：</w:t>
      </w:r>
      <w:r>
        <w:rPr>
          <w:rFonts w:hint="eastAsia" w:ascii="仿宋_GB2312" w:eastAsia="仿宋_GB2312" w:cs="仿宋_GB2312"/>
          <w:color w:val="000000" w:themeColor="text1"/>
          <w:sz w:val="32"/>
          <w:szCs w:val="32"/>
          <w:lang w:val="en-US"/>
          <w14:textFill>
            <w14:solidFill>
              <w14:schemeClr w14:val="tx1"/>
            </w14:solidFill>
          </w14:textFill>
        </w:rPr>
        <w:t>马宏海</w:t>
      </w:r>
      <w:r>
        <w:rPr>
          <w:rFonts w:hint="eastAsia" w:asci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eastAsia="仿宋_GB2312" w:cs="仿宋_GB2312"/>
          <w:color w:val="000000" w:themeColor="text1"/>
          <w:sz w:val="32"/>
          <w:szCs w:val="32"/>
          <w:shd w:val="clear" w:color="auto" w:fill="FFFFFF"/>
          <w:lang w:val="en-US"/>
          <w14:textFill>
            <w14:solidFill>
              <w14:schemeClr w14:val="tx1"/>
            </w14:solidFill>
          </w14:textFill>
        </w:rPr>
        <w:t>15719590018</w:t>
      </w:r>
    </w:p>
    <w:p>
      <w:pPr>
        <w:spacing w:line="600" w:lineRule="exact"/>
        <w:ind w:firstLine="640" w:firstLineChars="200"/>
        <w:jc w:val="both"/>
        <w:rPr>
          <w:rFonts w:ascii="楷体" w:hAnsi="楷体" w:eastAsia="楷体" w:cs="Times New Roman"/>
          <w:sz w:val="32"/>
          <w:szCs w:val="32"/>
        </w:rPr>
      </w:pPr>
      <w:r>
        <w:rPr>
          <w:rFonts w:hint="eastAsia" w:ascii="仿宋" w:hAnsi="仿宋" w:eastAsia="仿宋" w:cs="仿宋"/>
          <w:sz w:val="32"/>
          <w:szCs w:val="32"/>
        </w:rPr>
        <w:t>（</w:t>
      </w:r>
      <w:r>
        <w:rPr>
          <w:rFonts w:hint="eastAsia" w:ascii="楷体" w:hAnsi="楷体" w:eastAsia="楷体" w:cs="楷体"/>
          <w:sz w:val="32"/>
          <w:szCs w:val="32"/>
        </w:rPr>
        <w:t>五</w:t>
      </w:r>
      <w:r>
        <w:rPr>
          <w:rFonts w:hint="eastAsia" w:ascii="仿宋" w:hAnsi="仿宋" w:eastAsia="仿宋" w:cs="仿宋"/>
          <w:sz w:val="32"/>
          <w:szCs w:val="32"/>
        </w:rPr>
        <w:t>）</w:t>
      </w:r>
      <w:r>
        <w:rPr>
          <w:rFonts w:hint="eastAsia" w:ascii="楷体" w:hAnsi="楷体" w:eastAsia="楷体" w:cs="楷体"/>
          <w:sz w:val="32"/>
          <w:szCs w:val="32"/>
        </w:rPr>
        <w:t>有关要求</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pStyle w:val="2"/>
        <w:rPr>
          <w:rFonts w:hint="eastAsia" w:ascii="仿宋_GB2312" w:hAnsi="仿宋_GB2312" w:eastAsia="仿宋_GB2312" w:cs="仿宋_GB2312"/>
          <w:sz w:val="32"/>
          <w:szCs w:val="32"/>
        </w:rPr>
      </w:pPr>
    </w:p>
    <w:p/>
    <w:p>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spacing w:line="600" w:lineRule="exact"/>
        <w:ind w:firstLine="1248" w:firstLineChars="390"/>
        <w:jc w:val="both"/>
        <w:rPr>
          <w:rFonts w:ascii="仿宋_GB2312" w:eastAsia="仿宋_GB2312" w:cs="仿宋_GB2312"/>
          <w:sz w:val="32"/>
          <w:szCs w:val="32"/>
        </w:rPr>
      </w:pPr>
    </w:p>
    <w:p>
      <w:pPr>
        <w:spacing w:line="600" w:lineRule="exact"/>
        <w:ind w:left="2834" w:leftChars="1288"/>
        <w:jc w:val="right"/>
        <w:rPr>
          <w:rFonts w:ascii="仿宋_GB2312" w:eastAsia="仿宋_GB2312" w:cs="仿宋_GB2312"/>
          <w:sz w:val="32"/>
          <w:szCs w:val="32"/>
        </w:rPr>
      </w:pPr>
      <w:r>
        <w:rPr>
          <w:rFonts w:hint="eastAsia" w:ascii="仿宋_GB2312" w:eastAsia="仿宋_GB2312" w:cs="仿宋_GB2312"/>
          <w:sz w:val="32"/>
          <w:szCs w:val="32"/>
        </w:rPr>
        <w:t>宁夏宁东科技创业投资有限公司</w:t>
      </w:r>
    </w:p>
    <w:p>
      <w:pPr>
        <w:spacing w:line="600" w:lineRule="exact"/>
        <w:ind w:left="2834" w:leftChars="1288"/>
        <w:jc w:val="right"/>
        <w:rPr>
          <w:rFonts w:ascii="仿宋_GB2312" w:hAnsi="仿宋_GB2312" w:eastAsia="仿宋_GB2312" w:cs="Times New Roman"/>
          <w:b/>
          <w:bCs/>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w:t>
      </w:r>
    </w:p>
    <w:p>
      <w:pPr>
        <w:spacing w:line="520" w:lineRule="exact"/>
        <w:jc w:val="both"/>
        <w:rPr>
          <w:rFonts w:ascii="仿宋_GB2312" w:hAnsi="仿宋_GB2312" w:eastAsia="仿宋_GB2312" w:cs="Times New Roman"/>
          <w:b/>
          <w:bCs/>
          <w:sz w:val="32"/>
          <w:szCs w:val="32"/>
        </w:rPr>
      </w:pPr>
      <w:r>
        <w:rPr>
          <w:rFonts w:ascii="仿宋_GB2312" w:hAnsi="仿宋_GB2312" w:eastAsia="仿宋_GB2312" w:cs="Times New Roman"/>
          <w:b/>
          <w:bCs/>
          <w:sz w:val="32"/>
          <w:szCs w:val="32"/>
        </w:rPr>
        <w:br w:type="page"/>
      </w:r>
      <w:r>
        <w:rPr>
          <w:rFonts w:hint="eastAsia" w:ascii="仿宋_GB2312" w:hAnsi="仿宋_GB2312" w:eastAsia="仿宋_GB2312" w:cs="仿宋_GB2312"/>
          <w:b/>
          <w:bCs/>
          <w:sz w:val="32"/>
          <w:szCs w:val="32"/>
        </w:rPr>
        <w:t>附件一：</w:t>
      </w:r>
    </w:p>
    <w:p>
      <w:pPr>
        <w:spacing w:line="54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pStyle w:val="2"/>
        <w:rPr>
          <w:lang w:val="en-US"/>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组织的企业安全生产信息化云平台系统比选。我方授权</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（万元）</w:t>
      </w:r>
      <w:r>
        <w:rPr>
          <w:rFonts w:hint="eastAsia" w:ascii="Times New Roman" w:hAnsi="Times New Roman" w:eastAsia="仿宋_GB2312" w:cs="仿宋_GB2312"/>
          <w:sz w:val="32"/>
          <w:szCs w:val="32"/>
        </w:rPr>
        <w:t>报价，</w:t>
      </w:r>
      <w:r>
        <w:rPr>
          <w:rFonts w:hint="eastAsia" w:ascii="仿宋_GB2312" w:hAnsi="仿宋_GB2312" w:eastAsia="仿宋_GB2312" w:cs="仿宋_GB2312"/>
          <w:sz w:val="32"/>
          <w:szCs w:val="32"/>
        </w:rPr>
        <w:t>提供本项目</w:t>
      </w:r>
      <w:r>
        <w:rPr>
          <w:rFonts w:hint="eastAsia" w:ascii="仿宋_GB2312" w:eastAsia="仿宋_GB2312" w:cs="仿宋_GB2312"/>
          <w:sz w:val="32"/>
          <w:szCs w:val="32"/>
          <w:lang w:val="en-US"/>
        </w:rPr>
        <w:t>信息系统软件采购</w:t>
      </w:r>
      <w:r>
        <w:rPr>
          <w:rFonts w:hint="eastAsia" w:ascii="仿宋_GB2312" w:hAnsi="仿宋_GB2312" w:eastAsia="仿宋_GB2312" w:cs="仿宋_GB2312"/>
          <w:sz w:val="32"/>
          <w:szCs w:val="32"/>
        </w:rPr>
        <w:t>。</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4"/>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hAnsi="仿宋_GB2312" w:eastAsia="仿宋_GB2312" w:cs="仿宋_GB2312"/>
          <w:sz w:val="32"/>
          <w:szCs w:val="32"/>
          <w:lang w:val="en-US"/>
        </w:rPr>
        <w:t>企业安全生产信息化云平台系统</w:t>
      </w:r>
      <w:bookmarkStart w:id="2" w:name="_GoBack"/>
      <w:bookmarkEnd w:id="2"/>
      <w:r>
        <w:rPr>
          <w:rFonts w:hint="eastAsia" w:ascii="仿宋_GB2312" w:hAnsi="仿宋_GB2312" w:eastAsia="仿宋_GB2312" w:cs="仿宋_GB2312"/>
          <w:sz w:val="32"/>
          <w:szCs w:val="32"/>
          <w:lang w:val="en-US"/>
        </w:rPr>
        <w:t>采购项目供应商</w:t>
      </w:r>
      <w:r>
        <w:rPr>
          <w:rFonts w:hint="eastAsia" w:ascii="仿宋_GB2312" w:hAnsi="仿宋_GB2312" w:eastAsia="仿宋_GB2312" w:cs="仿宋_GB2312"/>
          <w:sz w:val="32"/>
          <w:szCs w:val="32"/>
        </w:rPr>
        <w:t>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pPr>
        <w:spacing w:line="560" w:lineRule="exact"/>
      </w:pPr>
    </w:p>
    <w:p>
      <w:pPr>
        <w:pStyle w:val="2"/>
      </w:pPr>
    </w:p>
    <w:p>
      <w:pPr>
        <w:pStyle w:val="2"/>
        <w:ind w:left="0"/>
        <w:jc w:val="both"/>
        <w:rPr>
          <w:lang w:val="en-US"/>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ZGMzZjA1ZjIwN2UyYWU2ZDhjNjczMDIzZTQzYWIifQ=="/>
  </w:docVars>
  <w:rsids>
    <w:rsidRoot w:val="0765620B"/>
    <w:rsid w:val="0000150D"/>
    <w:rsid w:val="0003097F"/>
    <w:rsid w:val="00093EE9"/>
    <w:rsid w:val="001E0475"/>
    <w:rsid w:val="001E7D14"/>
    <w:rsid w:val="00261A9A"/>
    <w:rsid w:val="002D08C2"/>
    <w:rsid w:val="003A0277"/>
    <w:rsid w:val="003B6501"/>
    <w:rsid w:val="003D5AB6"/>
    <w:rsid w:val="0041207F"/>
    <w:rsid w:val="00495715"/>
    <w:rsid w:val="00520F01"/>
    <w:rsid w:val="00554EBA"/>
    <w:rsid w:val="00562747"/>
    <w:rsid w:val="00562C1A"/>
    <w:rsid w:val="00586C49"/>
    <w:rsid w:val="005E3E18"/>
    <w:rsid w:val="007B23CE"/>
    <w:rsid w:val="00816F6B"/>
    <w:rsid w:val="008F3B75"/>
    <w:rsid w:val="009E2B7B"/>
    <w:rsid w:val="00A86730"/>
    <w:rsid w:val="00A97F7F"/>
    <w:rsid w:val="00B0065F"/>
    <w:rsid w:val="00B774F8"/>
    <w:rsid w:val="00BB57F3"/>
    <w:rsid w:val="00BD7DF9"/>
    <w:rsid w:val="00BF2981"/>
    <w:rsid w:val="00C23386"/>
    <w:rsid w:val="00C3563A"/>
    <w:rsid w:val="00CA3544"/>
    <w:rsid w:val="00CC0C39"/>
    <w:rsid w:val="00CC7A29"/>
    <w:rsid w:val="00D02A69"/>
    <w:rsid w:val="00D40256"/>
    <w:rsid w:val="00DB7770"/>
    <w:rsid w:val="00EC4E72"/>
    <w:rsid w:val="00EE117D"/>
    <w:rsid w:val="00F66973"/>
    <w:rsid w:val="02EB05EB"/>
    <w:rsid w:val="02EF0EA4"/>
    <w:rsid w:val="03524E0F"/>
    <w:rsid w:val="0765620B"/>
    <w:rsid w:val="09367163"/>
    <w:rsid w:val="097C01D4"/>
    <w:rsid w:val="09982744"/>
    <w:rsid w:val="0A7510B7"/>
    <w:rsid w:val="0CDA7677"/>
    <w:rsid w:val="10207B26"/>
    <w:rsid w:val="11416FD3"/>
    <w:rsid w:val="1483317A"/>
    <w:rsid w:val="163764AA"/>
    <w:rsid w:val="16EE11A3"/>
    <w:rsid w:val="16FC471D"/>
    <w:rsid w:val="1C4F2035"/>
    <w:rsid w:val="1F3152C5"/>
    <w:rsid w:val="216B2BCB"/>
    <w:rsid w:val="21C347B6"/>
    <w:rsid w:val="24F133E8"/>
    <w:rsid w:val="25BC02CF"/>
    <w:rsid w:val="28670123"/>
    <w:rsid w:val="298452E6"/>
    <w:rsid w:val="2CAA1418"/>
    <w:rsid w:val="2D9555EA"/>
    <w:rsid w:val="2E7B0F85"/>
    <w:rsid w:val="30122D0E"/>
    <w:rsid w:val="312B3A66"/>
    <w:rsid w:val="3140066B"/>
    <w:rsid w:val="37C02372"/>
    <w:rsid w:val="39E63E3B"/>
    <w:rsid w:val="3AEB0E18"/>
    <w:rsid w:val="3ED873A1"/>
    <w:rsid w:val="4091309B"/>
    <w:rsid w:val="42375D9D"/>
    <w:rsid w:val="4276565E"/>
    <w:rsid w:val="42CF6AAA"/>
    <w:rsid w:val="43DD12AF"/>
    <w:rsid w:val="4717264F"/>
    <w:rsid w:val="4DDE6A54"/>
    <w:rsid w:val="52FF7F21"/>
    <w:rsid w:val="54A957E5"/>
    <w:rsid w:val="55622008"/>
    <w:rsid w:val="57AF4CBE"/>
    <w:rsid w:val="5A2A46CB"/>
    <w:rsid w:val="5AC40AB1"/>
    <w:rsid w:val="5E6E08CE"/>
    <w:rsid w:val="5F9F6402"/>
    <w:rsid w:val="5FCA6C7B"/>
    <w:rsid w:val="5FEC2B70"/>
    <w:rsid w:val="62D953EF"/>
    <w:rsid w:val="63640C4D"/>
    <w:rsid w:val="66737A2A"/>
    <w:rsid w:val="695A6033"/>
    <w:rsid w:val="69CD23ED"/>
    <w:rsid w:val="6F496970"/>
    <w:rsid w:val="71AF5E5C"/>
    <w:rsid w:val="7305176F"/>
    <w:rsid w:val="74842EFD"/>
    <w:rsid w:val="768C7332"/>
    <w:rsid w:val="777B612F"/>
    <w:rsid w:val="7B8172FC"/>
    <w:rsid w:val="7F2A2F91"/>
    <w:rsid w:val="7F6B2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Autospacing="1" w:afterAutospacing="1"/>
      <w:outlineLvl w:val="0"/>
    </w:pPr>
    <w:rPr>
      <w:rFonts w:hint="eastAsia" w:cs="Times New Roman"/>
      <w:b/>
      <w:bCs/>
      <w:kern w:val="44"/>
      <w:sz w:val="48"/>
      <w:szCs w:val="48"/>
      <w:lang w:val="en-US"/>
    </w:rPr>
  </w:style>
  <w:style w:type="paragraph" w:styleId="2">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pPr>
      <w:spacing w:after="120"/>
    </w:pPr>
    <w:rPr>
      <w:sz w:val="28"/>
      <w:szCs w:val="24"/>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0">
    <w:name w:val="Normal (Web)"/>
    <w:basedOn w:val="1"/>
    <w:unhideWhenUsed/>
    <w:qFormat/>
    <w:uiPriority w:val="99"/>
    <w:pPr>
      <w:widowControl/>
      <w:autoSpaceDE/>
      <w:autoSpaceDN/>
      <w:spacing w:before="100" w:beforeAutospacing="1" w:after="100" w:afterAutospacing="1"/>
    </w:pPr>
    <w:rPr>
      <w:sz w:val="24"/>
      <w:szCs w:val="24"/>
      <w:lang w:val="en-US"/>
    </w:rPr>
  </w:style>
  <w:style w:type="paragraph" w:styleId="11">
    <w:name w:val="Body Text First Indent"/>
    <w:basedOn w:val="6"/>
    <w:qFormat/>
    <w:uiPriority w:val="0"/>
    <w:pPr>
      <w:ind w:firstLine="420" w:firstLineChars="100"/>
    </w:pPr>
  </w:style>
  <w:style w:type="character" w:customStyle="1" w:styleId="14">
    <w:name w:val="页眉 字符"/>
    <w:basedOn w:val="13"/>
    <w:link w:val="8"/>
    <w:qFormat/>
    <w:uiPriority w:val="0"/>
    <w:rPr>
      <w:rFonts w:ascii="宋体" w:hAnsi="宋体" w:eastAsia="宋体" w:cs="宋体"/>
      <w:sz w:val="18"/>
      <w:szCs w:val="18"/>
      <w:lang w:val="zh-CN"/>
    </w:rPr>
  </w:style>
  <w:style w:type="character" w:customStyle="1" w:styleId="15">
    <w:name w:val="页脚 字符"/>
    <w:basedOn w:val="13"/>
    <w:link w:val="7"/>
    <w:qFormat/>
    <w:uiPriority w:val="0"/>
    <w:rPr>
      <w:rFonts w:ascii="宋体" w:hAnsi="宋体" w:eastAsia="宋体" w:cs="宋体"/>
      <w:sz w:val="18"/>
      <w:szCs w:val="18"/>
      <w:lang w:val="zh-CN"/>
    </w:rPr>
  </w:style>
  <w:style w:type="paragraph" w:customStyle="1" w:styleId="16">
    <w:name w:val="吴涛正文"/>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2888</Words>
  <Characters>3032</Characters>
  <Lines>22</Lines>
  <Paragraphs>6</Paragraphs>
  <TotalTime>2</TotalTime>
  <ScaleCrop>false</ScaleCrop>
  <LinksUpToDate>false</LinksUpToDate>
  <CharactersWithSpaces>3114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トトロ</cp:lastModifiedBy>
  <dcterms:modified xsi:type="dcterms:W3CDTF">2022-09-08T10:35:57Z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05B2E03988A64AFE8F44A9E8258F8117</vt:lpwstr>
  </property>
</Properties>
</file>