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仿宋_GB2312" w:eastAsia="仿宋_GB2312"/>
          <w:b/>
          <w:bCs/>
          <w:sz w:val="32"/>
          <w:szCs w:val="32"/>
        </w:rPr>
      </w:pPr>
      <w:r>
        <w:rPr>
          <w:rFonts w:hint="eastAsia" w:ascii="仿宋_GB2312" w:eastAsia="仿宋_GB2312"/>
          <w:b/>
          <w:bCs/>
          <w:sz w:val="32"/>
          <w:szCs w:val="32"/>
        </w:rPr>
        <w:t>附件一：</w:t>
      </w:r>
    </w:p>
    <w:p>
      <w:pPr>
        <w:spacing w:line="540" w:lineRule="exact"/>
        <w:jc w:val="center"/>
        <w:rPr>
          <w:rFonts w:hint="eastAsia" w:ascii="方正小标宋简体" w:hAnsi="方正小标宋简体" w:eastAsia="方正小标宋简体" w:cs="方正小标宋简体"/>
          <w:bCs/>
          <w:sz w:val="44"/>
          <w:szCs w:val="44"/>
        </w:rPr>
      </w:pPr>
    </w:p>
    <w:p>
      <w:pPr>
        <w:spacing w:line="540" w:lineRule="exact"/>
        <w:jc w:val="center"/>
        <w:rPr>
          <w:rFonts w:hint="eastAsia" w:ascii="黑体" w:hAnsi="黑体" w:eastAsia="方正小标宋简体"/>
          <w:color w:val="000000"/>
          <w:sz w:val="32"/>
          <w:szCs w:val="32"/>
          <w:lang w:eastAsia="zh-CN"/>
        </w:rPr>
      </w:pPr>
      <w:r>
        <w:rPr>
          <w:rFonts w:hint="eastAsia" w:ascii="方正小标宋简体" w:hAnsi="方正小标宋简体" w:eastAsia="方正小标宋简体" w:cs="方正小标宋简体"/>
          <w:bCs/>
          <w:sz w:val="44"/>
          <w:szCs w:val="44"/>
        </w:rPr>
        <w:t>宁东基地</w:t>
      </w:r>
      <w:r>
        <w:rPr>
          <w:rFonts w:hint="eastAsia" w:ascii="方正小标宋简体" w:hAnsi="方正小标宋简体" w:eastAsia="方正小标宋简体" w:cs="方正小标宋简体"/>
          <w:bCs/>
          <w:sz w:val="44"/>
          <w:szCs w:val="44"/>
          <w:lang w:val="en-US" w:eastAsia="zh-CN"/>
        </w:rPr>
        <w:t>2022年度水资源节约集约利用奖补资金审核工作服务</w:t>
      </w:r>
      <w:r>
        <w:rPr>
          <w:rFonts w:hint="eastAsia" w:ascii="方正小标宋简体" w:hAnsi="方正小标宋简体" w:eastAsia="方正小标宋简体" w:cs="方正小标宋简体"/>
          <w:bCs/>
          <w:sz w:val="44"/>
          <w:szCs w:val="44"/>
        </w:rPr>
        <w:t>单位</w:t>
      </w:r>
      <w:r>
        <w:rPr>
          <w:rFonts w:hint="eastAsia" w:eastAsia="方正小标宋简体" w:cs="方正小标宋简体"/>
          <w:sz w:val="44"/>
          <w:szCs w:val="44"/>
        </w:rPr>
        <w:t>比选</w:t>
      </w:r>
      <w:r>
        <w:rPr>
          <w:rFonts w:hint="eastAsia" w:eastAsia="方正小标宋简体" w:cs="方正小标宋简体"/>
          <w:sz w:val="44"/>
          <w:szCs w:val="44"/>
          <w:lang w:eastAsia="zh-CN"/>
        </w:rPr>
        <w:t>参选须知</w:t>
      </w:r>
    </w:p>
    <w:p>
      <w:pPr>
        <w:snapToGrid w:val="0"/>
        <w:spacing w:line="560" w:lineRule="exact"/>
        <w:ind w:firstLine="640" w:firstLineChars="200"/>
        <w:rPr>
          <w:rFonts w:ascii="黑体" w:hAnsi="黑体" w:eastAsia="黑体"/>
          <w:color w:val="000000"/>
          <w:sz w:val="32"/>
          <w:szCs w:val="32"/>
        </w:rPr>
      </w:pPr>
    </w:p>
    <w:p>
      <w:pPr>
        <w:pageBreakBefore w:val="0"/>
        <w:kinsoku/>
        <w:wordWrap/>
        <w:overflowPunct/>
        <w:topLinePunct w:val="0"/>
        <w:autoSpaceDE/>
        <w:autoSpaceDN/>
        <w:bidi w:val="0"/>
        <w:snapToGrid w:val="0"/>
        <w:spacing w:line="560" w:lineRule="exact"/>
        <w:ind w:firstLine="640" w:firstLineChars="200"/>
        <w:textAlignment w:val="auto"/>
        <w:rPr>
          <w:rFonts w:ascii="黑体" w:hAnsi="黑体" w:eastAsia="黑体"/>
          <w:color w:val="000000"/>
          <w:sz w:val="32"/>
          <w:szCs w:val="32"/>
        </w:rPr>
      </w:pPr>
      <w:r>
        <w:rPr>
          <w:rFonts w:hint="eastAsia" w:ascii="黑体" w:hAnsi="黑体" w:eastAsia="黑体" w:cs="黑体"/>
          <w:color w:val="000000"/>
          <w:sz w:val="32"/>
          <w:szCs w:val="32"/>
        </w:rPr>
        <w:t>一、</w:t>
      </w:r>
      <w:r>
        <w:rPr>
          <w:rFonts w:hint="eastAsia" w:ascii="黑体" w:hAnsi="黑体" w:eastAsia="黑体" w:cs="黑体"/>
          <w:color w:val="000000"/>
          <w:sz w:val="32"/>
          <w:szCs w:val="32"/>
          <w:lang w:eastAsia="zh-CN"/>
        </w:rPr>
        <w:t>项目</w:t>
      </w:r>
      <w:r>
        <w:rPr>
          <w:rFonts w:hint="eastAsia" w:ascii="黑体" w:hAnsi="黑体" w:eastAsia="黑体" w:cs="黑体"/>
          <w:color w:val="000000"/>
          <w:sz w:val="32"/>
          <w:szCs w:val="32"/>
        </w:rPr>
        <w:t>概况</w:t>
      </w:r>
    </w:p>
    <w:p>
      <w:pPr>
        <w:pageBreakBefore w:val="0"/>
        <w:kinsoku/>
        <w:wordWrap/>
        <w:overflowPunct/>
        <w:topLinePunct w:val="0"/>
        <w:autoSpaceDE/>
        <w:autoSpaceDN/>
        <w:bidi w:val="0"/>
        <w:adjustRightInd w:val="0"/>
        <w:snapToGrid w:val="0"/>
        <w:spacing w:line="560" w:lineRule="exact"/>
        <w:ind w:firstLine="645"/>
        <w:textAlignment w:val="auto"/>
        <w:rPr>
          <w:rFonts w:ascii="仿宋_GB2312" w:hAnsi="宋体" w:eastAsia="仿宋_GB2312"/>
          <w:color w:val="000000"/>
          <w:kern w:val="0"/>
          <w:sz w:val="32"/>
          <w:szCs w:val="32"/>
          <w:shd w:val="clear" w:color="auto" w:fill="FFFFFF"/>
        </w:rPr>
      </w:pPr>
      <w:r>
        <w:rPr>
          <w:rFonts w:hint="eastAsia" w:ascii="仿宋_GB2312" w:hAnsi="楷体" w:eastAsia="仿宋_GB2312" w:cs="仿宋_GB2312"/>
          <w:sz w:val="32"/>
          <w:szCs w:val="32"/>
          <w:lang w:eastAsia="zh-CN"/>
        </w:rPr>
        <w:t>（一）项目</w:t>
      </w:r>
      <w:r>
        <w:rPr>
          <w:rFonts w:hint="eastAsia" w:ascii="仿宋_GB2312" w:hAnsi="楷体" w:eastAsia="仿宋_GB2312" w:cs="仿宋_GB2312"/>
          <w:sz w:val="32"/>
          <w:szCs w:val="32"/>
        </w:rPr>
        <w:t>名称：</w:t>
      </w:r>
      <w:r>
        <w:rPr>
          <w:rFonts w:hint="eastAsia" w:ascii="仿宋_GB2312" w:hAnsi="仿宋_GB2312" w:eastAsia="仿宋_GB2312" w:cs="仿宋_GB2312"/>
          <w:sz w:val="32"/>
          <w:szCs w:val="32"/>
          <w:lang w:val="en-US" w:eastAsia="zh-CN"/>
        </w:rPr>
        <w:t>宁东基地2022年度水资源节约集约利用奖补资金审核工作服务项目</w:t>
      </w:r>
    </w:p>
    <w:p>
      <w:pPr>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sz w:val="32"/>
          <w:szCs w:val="32"/>
          <w:shd w:val="clear" w:color="auto" w:fill="FFFFFF"/>
          <w:lang w:eastAsia="zh-CN"/>
        </w:rPr>
        <w:t>（二）委托</w:t>
      </w:r>
      <w:r>
        <w:rPr>
          <w:rFonts w:hint="eastAsia" w:ascii="仿宋_GB2312" w:hAnsi="宋体" w:eastAsia="仿宋_GB2312" w:cs="仿宋_GB2312"/>
          <w:color w:val="000000"/>
          <w:sz w:val="32"/>
          <w:szCs w:val="32"/>
          <w:shd w:val="clear" w:color="auto" w:fill="FFFFFF"/>
        </w:rPr>
        <w:t>单位：宁东管委会自然资源局</w:t>
      </w:r>
    </w:p>
    <w:p>
      <w:pPr>
        <w:pageBreakBefore w:val="0"/>
        <w:kinsoku/>
        <w:wordWrap/>
        <w:overflowPunct/>
        <w:topLinePunct w:val="0"/>
        <w:autoSpaceDE/>
        <w:autoSpaceDN/>
        <w:bidi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lang w:eastAsia="zh-CN"/>
        </w:rPr>
        <w:t>（三）项目</w:t>
      </w:r>
      <w:r>
        <w:rPr>
          <w:rFonts w:hint="eastAsia" w:ascii="仿宋_GB2312" w:eastAsia="仿宋_GB2312" w:cs="仿宋_GB2312"/>
          <w:sz w:val="32"/>
          <w:szCs w:val="32"/>
        </w:rPr>
        <w:t>地点：</w:t>
      </w:r>
      <w:r>
        <w:rPr>
          <w:rFonts w:hint="eastAsia" w:ascii="仿宋_GB2312" w:eastAsia="仿宋_GB2312" w:cs="仿宋_GB2312"/>
          <w:sz w:val="32"/>
          <w:szCs w:val="32"/>
          <w:lang w:eastAsia="zh-CN"/>
        </w:rPr>
        <w:t>宁东基地</w:t>
      </w:r>
      <w:r>
        <w:rPr>
          <w:rFonts w:ascii="仿宋_GB2312" w:hAnsi="仿宋_GB2312" w:eastAsia="仿宋_GB2312" w:cs="仿宋_GB2312"/>
          <w:sz w:val="32"/>
          <w:szCs w:val="32"/>
        </w:rPr>
        <w:t xml:space="preserve"> </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（四）项目内容：</w:t>
      </w:r>
      <w:r>
        <w:rPr>
          <w:rFonts w:hint="eastAsia" w:ascii="仿宋_GB2312" w:hAnsi="宋体" w:eastAsia="仿宋_GB2312" w:cs="仿宋_GB2312"/>
          <w:color w:val="000000"/>
          <w:sz w:val="32"/>
          <w:szCs w:val="32"/>
          <w:shd w:val="clear" w:color="auto" w:fill="FFFFFF"/>
          <w:lang w:val="en-US" w:eastAsia="zh-CN"/>
        </w:rPr>
        <w:t>按照《宁东能源化工基地水资源节约集约利用奖补办法》要求，编制2022年度水资源节约集约利用奖补实施方案，对宁东基地符合奖补条件的企业及工程项目的行政审批手续办理、工程建设、竣工验收、投产运行、资金管理、税费申报及缴纳等环节的及时性和合规性、申报材料的真实性和完整性等内容进行核查，2023年8月15日前确定最终奖补名单。</w:t>
      </w:r>
    </w:p>
    <w:p>
      <w:pPr>
        <w:pageBreakBefore w:val="0"/>
        <w:kinsoku/>
        <w:wordWrap/>
        <w:overflowPunct/>
        <w:topLinePunct w:val="0"/>
        <w:autoSpaceDE/>
        <w:autoSpaceDN/>
        <w:bidi w:val="0"/>
        <w:snapToGrid w:val="0"/>
        <w:spacing w:line="560" w:lineRule="exact"/>
        <w:ind w:firstLine="640" w:firstLineChars="200"/>
        <w:textAlignment w:val="auto"/>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二、比选文件及资格要求</w:t>
      </w:r>
    </w:p>
    <w:p>
      <w:pPr>
        <w:pageBreakBefore w:val="0"/>
        <w:kinsoku/>
        <w:wordWrap/>
        <w:overflowPunct/>
        <w:topLinePunct w:val="0"/>
        <w:autoSpaceDE/>
        <w:autoSpaceDN/>
        <w:bidi w:val="0"/>
        <w:snapToGrid w:val="0"/>
        <w:spacing w:line="560" w:lineRule="exact"/>
        <w:ind w:firstLine="642" w:firstLineChars="200"/>
        <w:textAlignment w:val="auto"/>
        <w:rPr>
          <w:rFonts w:ascii="仿宋_GB2312" w:hAnsi="宋体" w:eastAsia="仿宋_GB2312"/>
          <w:b/>
          <w:bCs/>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（一）提交比选文件应包括下列内容：</w:t>
      </w:r>
    </w:p>
    <w:p>
      <w:pPr>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报价函；</w:t>
      </w:r>
    </w:p>
    <w:p>
      <w:pPr>
        <w:pageBreakBefore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授权委托书；</w:t>
      </w:r>
    </w:p>
    <w:p>
      <w:pPr>
        <w:pageBreakBefore w:val="0"/>
        <w:kinsoku/>
        <w:wordWrap/>
        <w:overflowPunct/>
        <w:topLinePunct w:val="0"/>
        <w:autoSpaceDE/>
        <w:autoSpaceDN/>
        <w:bidi w:val="0"/>
        <w:snapToGrid w:val="0"/>
        <w:spacing w:line="560" w:lineRule="exact"/>
        <w:ind w:firstLine="640" w:firstLineChars="200"/>
        <w:textAlignment w:val="auto"/>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参选人基本情况表（须附相关资质</w:t>
      </w:r>
      <w:r>
        <w:rPr>
          <w:rFonts w:hint="eastAsia" w:ascii="仿宋_GB2312" w:hAnsi="宋体" w:eastAsia="仿宋_GB2312" w:cs="仿宋_GB2312"/>
          <w:color w:val="000000"/>
          <w:kern w:val="0"/>
          <w:sz w:val="32"/>
          <w:szCs w:val="32"/>
          <w:shd w:val="clear" w:color="auto" w:fill="FFFFFF"/>
          <w:lang w:eastAsia="zh-CN"/>
        </w:rPr>
        <w:t>和营业执照</w:t>
      </w:r>
      <w:r>
        <w:rPr>
          <w:rFonts w:hint="eastAsia" w:ascii="仿宋_GB2312" w:hAnsi="宋体" w:eastAsia="仿宋_GB2312" w:cs="仿宋_GB2312"/>
          <w:color w:val="000000"/>
          <w:kern w:val="0"/>
          <w:sz w:val="32"/>
          <w:szCs w:val="32"/>
          <w:shd w:val="clear" w:color="auto" w:fill="FFFFFF"/>
        </w:rPr>
        <w:t>复印件并加盖公章）；</w:t>
      </w:r>
      <w:bookmarkStart w:id="0" w:name="_GoBack"/>
      <w:bookmarkEnd w:id="0"/>
    </w:p>
    <w:p>
      <w:pPr>
        <w:pageBreakBefore w:val="0"/>
        <w:kinsoku/>
        <w:wordWrap/>
        <w:overflowPunct/>
        <w:topLinePunct w:val="0"/>
        <w:autoSpaceDE/>
        <w:autoSpaceDN/>
        <w:bidi w:val="0"/>
        <w:snapToGrid w:val="0"/>
        <w:spacing w:line="560" w:lineRule="exact"/>
        <w:ind w:firstLine="640" w:firstLineChars="200"/>
        <w:textAlignment w:val="auto"/>
      </w:pPr>
      <w:r>
        <w:rPr>
          <w:rFonts w:hint="eastAsia" w:ascii="仿宋_GB2312" w:hAnsi="宋体" w:eastAsia="仿宋_GB2312" w:cs="仿宋_GB2312"/>
          <w:color w:val="000000"/>
          <w:kern w:val="0"/>
          <w:sz w:val="32"/>
          <w:szCs w:val="32"/>
          <w:shd w:val="clear" w:color="auto" w:fill="FFFFFF"/>
        </w:rPr>
        <w:t>4.参选人需在比选日前一日</w:t>
      </w:r>
      <w:r>
        <w:rPr>
          <w:rFonts w:hint="eastAsia" w:ascii="仿宋_GB2312" w:eastAsia="仿宋_GB2312" w:cs="仿宋_GB2312"/>
          <w:sz w:val="32"/>
          <w:szCs w:val="32"/>
        </w:rPr>
        <w:t>通过“信用中国”网站（</w:t>
      </w:r>
      <w:r>
        <w:rPr>
          <w:rFonts w:ascii="仿宋_GB2312" w:eastAsia="仿宋_GB2312" w:cs="仿宋_GB2312"/>
          <w:sz w:val="32"/>
          <w:szCs w:val="32"/>
        </w:rPr>
        <w:t>www</w:t>
      </w:r>
      <w:r>
        <w:rPr>
          <w:rFonts w:hint="eastAsia" w:ascii="仿宋_GB2312" w:eastAsia="仿宋_GB2312" w:cs="仿宋_GB2312"/>
          <w:sz w:val="32"/>
          <w:szCs w:val="32"/>
          <w:lang w:val="en-US" w:eastAsia="zh-CN"/>
        </w:rPr>
        <w:t>.</w:t>
      </w:r>
      <w:r>
        <w:rPr>
          <w:rFonts w:ascii="仿宋_GB2312" w:eastAsia="仿宋_GB2312" w:cs="仿宋_GB2312"/>
          <w:sz w:val="32"/>
          <w:szCs w:val="32"/>
        </w:rPr>
        <w:t>creditchina</w:t>
      </w:r>
      <w:r>
        <w:rPr>
          <w:rFonts w:hint="eastAsia" w:ascii="仿宋_GB2312" w:eastAsia="仿宋_GB2312" w:cs="仿宋_GB2312"/>
          <w:sz w:val="32"/>
          <w:szCs w:val="32"/>
          <w:lang w:val="en-US" w:eastAsia="zh-CN"/>
        </w:rPr>
        <w:t>.</w:t>
      </w:r>
      <w:r>
        <w:rPr>
          <w:rFonts w:ascii="仿宋_GB2312" w:eastAsia="仿宋_GB2312" w:cs="仿宋_GB2312"/>
          <w:sz w:val="32"/>
          <w:szCs w:val="32"/>
        </w:rPr>
        <w:t>gov</w:t>
      </w:r>
      <w:r>
        <w:rPr>
          <w:rFonts w:hint="eastAsia" w:ascii="仿宋_GB2312" w:eastAsia="仿宋_GB2312" w:cs="仿宋_GB2312"/>
          <w:sz w:val="32"/>
          <w:szCs w:val="32"/>
          <w:lang w:val="en-US" w:eastAsia="zh-CN"/>
        </w:rPr>
        <w:t>.</w:t>
      </w:r>
      <w:r>
        <w:rPr>
          <w:rFonts w:ascii="仿宋_GB2312" w:eastAsia="仿宋_GB2312" w:cs="仿宋_GB2312"/>
          <w:sz w:val="32"/>
          <w:szCs w:val="32"/>
        </w:rPr>
        <w:t>cn</w:t>
      </w:r>
      <w:r>
        <w:rPr>
          <w:rFonts w:hint="eastAsia" w:ascii="仿宋_GB2312" w:eastAsia="仿宋_GB2312" w:cs="仿宋_GB2312"/>
          <w:sz w:val="32"/>
          <w:szCs w:val="32"/>
        </w:rPr>
        <w:t>）查询是否为失信被执行人，并将查询结果装订于比选资料内，</w:t>
      </w:r>
      <w:r>
        <w:rPr>
          <w:rFonts w:hint="eastAsia" w:ascii="仿宋_GB2312" w:hAnsi="仿宋_GB2312" w:eastAsia="仿宋_GB2312" w:cs="仿宋_GB2312"/>
          <w:spacing w:val="0"/>
          <w:sz w:val="32"/>
          <w:szCs w:val="32"/>
        </w:rPr>
        <w:t>失信被执行人</w:t>
      </w:r>
      <w:r>
        <w:rPr>
          <w:rFonts w:hint="eastAsia" w:ascii="仿宋_GB2312" w:hAnsi="仿宋_GB2312" w:eastAsia="仿宋_GB2312" w:cs="仿宋_GB2312"/>
          <w:spacing w:val="0"/>
          <w:sz w:val="32"/>
          <w:szCs w:val="32"/>
          <w:lang w:eastAsia="zh-CN"/>
        </w:rPr>
        <w:t>不得</w:t>
      </w:r>
      <w:r>
        <w:rPr>
          <w:rFonts w:hint="eastAsia" w:ascii="仿宋_GB2312" w:hAnsi="仿宋_GB2312" w:eastAsia="仿宋_GB2312" w:cs="仿宋_GB2312"/>
          <w:spacing w:val="0"/>
          <w:sz w:val="32"/>
          <w:szCs w:val="32"/>
        </w:rPr>
        <w:t>参与此次比选</w:t>
      </w:r>
      <w:r>
        <w:rPr>
          <w:rFonts w:hint="eastAsia" w:ascii="仿宋_GB2312" w:eastAsia="仿宋_GB2312" w:cs="仿宋_GB2312"/>
          <w:sz w:val="32"/>
          <w:szCs w:val="32"/>
        </w:rPr>
        <w:t>。</w:t>
      </w:r>
    </w:p>
    <w:p>
      <w:pPr>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cs="仿宋_GB2312"/>
          <w:color w:val="000000"/>
          <w:kern w:val="0"/>
          <w:sz w:val="32"/>
          <w:szCs w:val="32"/>
          <w:shd w:val="clear" w:color="auto" w:fill="FFFFFF"/>
          <w:lang w:eastAsia="zh-CN"/>
        </w:rPr>
      </w:pPr>
      <w:r>
        <w:rPr>
          <w:rFonts w:hint="eastAsia" w:ascii="仿宋_GB2312" w:hAnsi="宋体" w:eastAsia="仿宋_GB2312" w:cs="仿宋_GB2312"/>
          <w:color w:val="000000"/>
          <w:kern w:val="0"/>
          <w:sz w:val="32"/>
          <w:szCs w:val="32"/>
          <w:shd w:val="clear" w:color="auto" w:fill="FFFFFF"/>
        </w:rPr>
        <w:t>5.服务承诺书</w:t>
      </w:r>
      <w:r>
        <w:rPr>
          <w:rFonts w:hint="eastAsia" w:ascii="仿宋_GB2312" w:hAnsi="宋体" w:eastAsia="仿宋_GB2312" w:cs="仿宋_GB2312"/>
          <w:color w:val="000000"/>
          <w:kern w:val="0"/>
          <w:sz w:val="32"/>
          <w:szCs w:val="32"/>
          <w:shd w:val="clear" w:color="auto" w:fill="FFFFFF"/>
          <w:lang w:eastAsia="zh-CN"/>
        </w:rPr>
        <w:t>；</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3"/>
        <w:rPr>
          <w:rFonts w:hint="eastAsia" w:ascii="仿宋_GB2312" w:hAnsi="Times New Roman" w:eastAsia="仿宋_GB2312" w:cs="仿宋_GB2312"/>
          <w:b w:val="0"/>
          <w:bCs w:val="0"/>
          <w:kern w:val="2"/>
          <w:sz w:val="32"/>
          <w:szCs w:val="32"/>
          <w:lang w:val="en-US" w:eastAsia="zh-CN" w:bidi="ar-SA"/>
        </w:rPr>
      </w:pPr>
      <w:r>
        <w:rPr>
          <w:rFonts w:hint="eastAsia" w:ascii="仿宋_GB2312" w:hAnsi="Times New Roman" w:eastAsia="仿宋_GB2312" w:cs="仿宋_GB2312"/>
          <w:b w:val="0"/>
          <w:bCs w:val="0"/>
          <w:kern w:val="2"/>
          <w:sz w:val="32"/>
          <w:szCs w:val="32"/>
          <w:lang w:val="en-US" w:eastAsia="zh-CN" w:bidi="ar-SA"/>
        </w:rPr>
        <w:t>6.近三年开展相关业务情况；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Times New Roman" w:eastAsia="仿宋_GB2312" w:cs="仿宋_GB2312"/>
          <w:b w:val="0"/>
          <w:bCs w:val="0"/>
          <w:kern w:val="2"/>
          <w:sz w:val="32"/>
          <w:szCs w:val="32"/>
          <w:lang w:val="en-US" w:eastAsia="zh-CN" w:bidi="ar-SA"/>
        </w:rPr>
      </w:pPr>
      <w:r>
        <w:rPr>
          <w:rFonts w:hint="eastAsia" w:ascii="仿宋_GB2312" w:hAnsi="Times New Roman" w:eastAsia="仿宋_GB2312" w:cs="仿宋_GB2312"/>
          <w:b w:val="0"/>
          <w:bCs w:val="0"/>
          <w:kern w:val="2"/>
          <w:sz w:val="32"/>
          <w:szCs w:val="32"/>
          <w:lang w:val="en-US" w:eastAsia="zh-CN" w:bidi="ar-SA"/>
        </w:rPr>
        <w:t>7.服务实施方案；</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3"/>
        <w:rPr>
          <w:rFonts w:hint="default" w:ascii="仿宋_GB2312" w:hAnsi="Times New Roman" w:eastAsia="仿宋_GB2312" w:cs="仿宋_GB2312"/>
          <w:b w:val="0"/>
          <w:bCs w:val="0"/>
          <w:kern w:val="2"/>
          <w:sz w:val="32"/>
          <w:szCs w:val="32"/>
          <w:lang w:val="en-US" w:eastAsia="zh-CN" w:bidi="ar-SA"/>
        </w:rPr>
      </w:pPr>
      <w:r>
        <w:rPr>
          <w:rFonts w:hint="eastAsia" w:ascii="仿宋_GB2312" w:hAnsi="Times New Roman" w:eastAsia="仿宋_GB2312" w:cs="仿宋_GB2312"/>
          <w:b w:val="0"/>
          <w:bCs w:val="0"/>
          <w:kern w:val="2"/>
          <w:sz w:val="32"/>
          <w:szCs w:val="32"/>
          <w:lang w:val="en-US" w:eastAsia="zh-CN" w:bidi="ar-SA"/>
        </w:rPr>
        <w:t>8.人员安排。</w:t>
      </w:r>
    </w:p>
    <w:p>
      <w:pPr>
        <w:snapToGrid w:val="0"/>
        <w:spacing w:line="560" w:lineRule="exact"/>
        <w:ind w:firstLine="642" w:firstLineChars="200"/>
        <w:rPr>
          <w:rFonts w:ascii="仿宋_GB2312" w:hAnsi="宋体" w:eastAsia="仿宋_GB2312" w:cs="仿宋_GB2312"/>
          <w:b/>
          <w:bCs/>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（二）参选人资格要求：</w:t>
      </w:r>
    </w:p>
    <w:p>
      <w:pPr>
        <w:spacing w:line="540" w:lineRule="exact"/>
        <w:ind w:firstLine="640" w:firstLineChars="200"/>
        <w:rPr>
          <w:rFonts w:hint="eastAsia" w:ascii="黑体" w:hAnsi="黑体" w:eastAsia="仿宋_GB2312"/>
          <w:sz w:val="32"/>
          <w:szCs w:val="32"/>
          <w:lang w:eastAsia="zh-CN"/>
        </w:rPr>
      </w:pPr>
      <w:r>
        <w:rPr>
          <w:rFonts w:hint="eastAsia" w:ascii="仿宋_GB2312" w:hAnsi="宋体" w:eastAsia="仿宋_GB2312" w:cs="仿宋_GB2312"/>
          <w:color w:val="000000"/>
          <w:sz w:val="32"/>
          <w:szCs w:val="32"/>
          <w:shd w:val="clear" w:color="auto" w:fill="FFFFFF"/>
        </w:rPr>
        <w:t>1.投标企业须具有独立法人资格</w:t>
      </w:r>
      <w:r>
        <w:rPr>
          <w:rFonts w:hint="eastAsia" w:ascii="仿宋_GB2312" w:hAnsi="宋体" w:eastAsia="仿宋_GB2312" w:cs="仿宋_GB2312"/>
          <w:color w:val="000000"/>
          <w:sz w:val="32"/>
          <w:szCs w:val="32"/>
          <w:shd w:val="clear" w:color="auto" w:fill="FFFFFF"/>
          <w:lang w:eastAsia="zh-CN"/>
        </w:rPr>
        <w:t>；</w:t>
      </w:r>
    </w:p>
    <w:p>
      <w:pPr>
        <w:spacing w:line="540" w:lineRule="exact"/>
        <w:ind w:firstLine="640" w:firstLineChars="200"/>
        <w:rPr>
          <w:rFonts w:hint="eastAsia" w:ascii="黑体" w:hAnsi="黑体" w:eastAsia="仿宋_GB2312"/>
          <w:sz w:val="32"/>
          <w:szCs w:val="32"/>
          <w:lang w:eastAsia="zh-CN"/>
        </w:rPr>
      </w:pPr>
      <w:r>
        <w:rPr>
          <w:rFonts w:hint="eastAsia" w:ascii="仿宋_GB2312" w:eastAsia="仿宋_GB2312" w:cs="仿宋_GB2312"/>
          <w:sz w:val="32"/>
          <w:szCs w:val="32"/>
        </w:rPr>
        <w:t>2.</w:t>
      </w:r>
      <w:r>
        <w:rPr>
          <w:rFonts w:hint="eastAsia" w:ascii="仿宋_GB2312" w:hAnsi="宋体" w:eastAsia="仿宋_GB2312" w:cs="仿宋_GB2312"/>
          <w:color w:val="000000"/>
          <w:sz w:val="32"/>
          <w:szCs w:val="32"/>
          <w:shd w:val="clear" w:color="auto" w:fill="FFFFFF"/>
        </w:rPr>
        <w:t>具备良好的财务能力，并在人员组成结构等方面具有相应的能力</w:t>
      </w:r>
      <w:r>
        <w:rPr>
          <w:rFonts w:hint="eastAsia" w:ascii="仿宋_GB2312" w:hAnsi="宋体" w:eastAsia="仿宋_GB2312" w:cs="仿宋_GB2312"/>
          <w:color w:val="000000"/>
          <w:sz w:val="32"/>
          <w:szCs w:val="32"/>
          <w:shd w:val="clear" w:color="auto" w:fill="FFFFFF"/>
          <w:lang w:eastAsia="zh-CN"/>
        </w:rPr>
        <w:t>；</w:t>
      </w:r>
    </w:p>
    <w:p>
      <w:pPr>
        <w:spacing w:line="540" w:lineRule="exact"/>
        <w:ind w:firstLine="640" w:firstLineChars="200"/>
        <w:rPr>
          <w:rFonts w:hint="eastAsia" w:ascii="黑体" w:hAnsi="黑体" w:eastAsia="仿宋_GB2312"/>
          <w:sz w:val="32"/>
          <w:szCs w:val="32"/>
          <w:lang w:eastAsia="zh-CN"/>
        </w:rPr>
      </w:pPr>
      <w:r>
        <w:rPr>
          <w:rFonts w:hint="eastAsia" w:ascii="仿宋_GB2312" w:eastAsia="仿宋_GB2312" w:cs="仿宋_GB2312"/>
          <w:sz w:val="32"/>
          <w:szCs w:val="32"/>
        </w:rPr>
        <w:t>3.</w:t>
      </w:r>
      <w:r>
        <w:rPr>
          <w:rFonts w:hint="eastAsia" w:ascii="仿宋_GB2312" w:hAnsi="宋体" w:eastAsia="仿宋_GB2312" w:cs="仿宋_GB2312"/>
          <w:color w:val="000000"/>
          <w:sz w:val="32"/>
          <w:szCs w:val="32"/>
          <w:shd w:val="clear" w:color="auto" w:fill="FFFFFF"/>
        </w:rPr>
        <w:t>具备法律、行政法规规定的其他条件</w:t>
      </w:r>
      <w:r>
        <w:rPr>
          <w:rFonts w:hint="eastAsia" w:ascii="仿宋_GB2312" w:hAnsi="宋体" w:eastAsia="仿宋_GB2312" w:cs="仿宋_GB2312"/>
          <w:color w:val="000000"/>
          <w:sz w:val="32"/>
          <w:szCs w:val="32"/>
          <w:shd w:val="clear" w:color="auto" w:fill="FFFFFF"/>
          <w:lang w:eastAsia="zh-CN"/>
        </w:rPr>
        <w:t>；</w:t>
      </w:r>
    </w:p>
    <w:p>
      <w:pPr>
        <w:spacing w:line="540" w:lineRule="exact"/>
        <w:ind w:firstLine="640" w:firstLineChars="200"/>
        <w:rPr>
          <w:rFonts w:ascii="黑体" w:hAnsi="黑体" w:eastAsia="黑体"/>
          <w:sz w:val="32"/>
          <w:szCs w:val="32"/>
        </w:rPr>
      </w:pPr>
      <w:r>
        <w:rPr>
          <w:rFonts w:hint="eastAsia" w:ascii="仿宋_GB2312" w:eastAsia="仿宋_GB2312" w:cs="仿宋_GB2312"/>
          <w:sz w:val="32"/>
          <w:szCs w:val="32"/>
        </w:rPr>
        <w:t>4.</w:t>
      </w:r>
      <w:r>
        <w:rPr>
          <w:rFonts w:hint="eastAsia" w:ascii="仿宋_GB2312" w:hAnsi="宋体" w:eastAsia="仿宋_GB2312" w:cs="仿宋_GB2312"/>
          <w:color w:val="000000"/>
          <w:sz w:val="32"/>
          <w:szCs w:val="32"/>
          <w:shd w:val="clear" w:color="auto" w:fill="FFFFFF"/>
        </w:rPr>
        <w:t>单位负责人为同一人或者存在控股、管理关系的不同单位，不得同时参加本报名。</w:t>
      </w:r>
    </w:p>
    <w:p>
      <w:pPr>
        <w:snapToGrid w:val="0"/>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三、报价</w:t>
      </w:r>
    </w:p>
    <w:p>
      <w:pPr>
        <w:spacing w:line="560" w:lineRule="exact"/>
        <w:ind w:firstLine="642"/>
        <w:rPr>
          <w:rFonts w:ascii="仿宋_GB2312" w:hAnsi="宋体" w:eastAsia="仿宋_GB2312" w:cs="宋体"/>
          <w:kern w:val="0"/>
          <w:sz w:val="32"/>
          <w:szCs w:val="32"/>
        </w:rPr>
      </w:pPr>
      <w:r>
        <w:rPr>
          <w:rFonts w:hint="eastAsia" w:ascii="仿宋_GB2312" w:hAnsi="宋体" w:eastAsia="仿宋_GB2312" w:cs="宋体"/>
          <w:kern w:val="0"/>
          <w:sz w:val="32"/>
          <w:szCs w:val="32"/>
        </w:rPr>
        <w:t>本次为总价报价，最高限价为</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万元。</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四、比选文件的份数和签署</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eastAsia="zh-CN"/>
        </w:rPr>
        <w:t>（一）</w:t>
      </w:r>
      <w:r>
        <w:rPr>
          <w:rFonts w:hint="eastAsia" w:ascii="仿宋_GB2312" w:hAnsi="宋体" w:eastAsia="仿宋_GB2312" w:cs="仿宋_GB2312"/>
          <w:color w:val="000000"/>
          <w:kern w:val="0"/>
          <w:sz w:val="32"/>
          <w:szCs w:val="32"/>
          <w:shd w:val="clear" w:color="auto" w:fill="FFFFFF"/>
        </w:rPr>
        <w:t>参选人提交比选文件，壹份正本，叁份副本。</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eastAsia="zh-CN"/>
        </w:rPr>
        <w:t>（二）</w:t>
      </w:r>
      <w:r>
        <w:rPr>
          <w:rFonts w:hint="eastAsia" w:ascii="仿宋_GB2312" w:hAnsi="宋体" w:eastAsia="仿宋_GB2312" w:cs="仿宋_GB2312"/>
          <w:color w:val="000000"/>
          <w:kern w:val="0"/>
          <w:sz w:val="32"/>
          <w:szCs w:val="32"/>
          <w:shd w:val="clear" w:color="auto" w:fill="FFFFFF"/>
        </w:rPr>
        <w:t>比选文件均需打印或使用不褪色的蓝、黑墨水笔书写，字迹应清晰易于辨认。</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eastAsia="zh-CN"/>
        </w:rPr>
        <w:t>（三）</w:t>
      </w:r>
      <w:r>
        <w:rPr>
          <w:rFonts w:hint="eastAsia" w:ascii="仿宋_GB2312" w:hAnsi="宋体" w:eastAsia="仿宋_GB2312" w:cs="仿宋_GB2312"/>
          <w:color w:val="000000"/>
          <w:kern w:val="0"/>
          <w:sz w:val="32"/>
          <w:szCs w:val="32"/>
          <w:shd w:val="clear" w:color="auto" w:fill="FFFFFF"/>
        </w:rPr>
        <w:t>比选文件中要求加盖参选人公章或要求法定代表人及其授权代表签字的地方均应盖章或签字。由授权代表签字或盖章的在比选文件中须同时提交比选文件签署授权委托书。比选文件签署授权委托书格式、签字、盖章及内容均应符合要求，否则比选文件签署授权委托书无效。</w:t>
      </w:r>
    </w:p>
    <w:p>
      <w:pPr>
        <w:snapToGrid w:val="0"/>
        <w:spacing w:line="560" w:lineRule="exact"/>
        <w:ind w:firstLine="640" w:firstLineChars="200"/>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五、比选文件的装订、密封和标记</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eastAsia="zh-CN"/>
        </w:rPr>
        <w:t>（一）</w:t>
      </w:r>
      <w:r>
        <w:rPr>
          <w:rFonts w:hint="eastAsia" w:ascii="仿宋_GB2312" w:hAnsi="宋体" w:eastAsia="仿宋_GB2312" w:cs="仿宋_GB2312"/>
          <w:color w:val="000000"/>
          <w:kern w:val="0"/>
          <w:sz w:val="32"/>
          <w:szCs w:val="32"/>
          <w:shd w:val="clear" w:color="auto" w:fill="FFFFFF"/>
        </w:rPr>
        <w:t>比选文件应装订成册，并编制目录，装订应牢固、不易拆散和换页。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eastAsia="zh-CN"/>
        </w:rPr>
        <w:t>（二）</w:t>
      </w:r>
      <w:r>
        <w:rPr>
          <w:rFonts w:hint="eastAsia" w:ascii="仿宋_GB2312" w:hAnsi="宋体" w:eastAsia="仿宋_GB2312" w:cs="仿宋_GB2312"/>
          <w:color w:val="000000"/>
          <w:kern w:val="0"/>
          <w:sz w:val="32"/>
          <w:szCs w:val="32"/>
          <w:shd w:val="clear" w:color="auto" w:fill="FFFFFF"/>
        </w:rPr>
        <w:t>比选文件必须密封递交，未密封的文件不予接受。对封装材料及样式不作特别规定，但参选人应当保证其封装的可靠性，不致因搬运、堆放等原因散开。</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eastAsia="zh-CN"/>
        </w:rPr>
        <w:t>（三）</w:t>
      </w:r>
      <w:r>
        <w:rPr>
          <w:rFonts w:hint="eastAsia" w:ascii="仿宋_GB2312" w:hAnsi="宋体" w:eastAsia="仿宋_GB2312" w:cs="仿宋_GB2312"/>
          <w:color w:val="000000"/>
          <w:kern w:val="0"/>
          <w:sz w:val="32"/>
          <w:szCs w:val="32"/>
          <w:shd w:val="clear" w:color="auto" w:fill="FFFFFF"/>
        </w:rPr>
        <w:t>比选文件密封袋上均应注明名称、参选人名称并加盖参选人印章。</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六、比选文件的提交</w:t>
      </w:r>
    </w:p>
    <w:p>
      <w:pPr>
        <w:snapToGrid w:val="0"/>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比选文件应在202</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年</w:t>
      </w:r>
      <w:r>
        <w:rPr>
          <w:rFonts w:hint="eastAsia" w:ascii="仿宋_GB2312" w:hAnsi="宋体" w:eastAsia="仿宋_GB2312" w:cs="仿宋_GB2312"/>
          <w:kern w:val="0"/>
          <w:sz w:val="32"/>
          <w:szCs w:val="32"/>
          <w:lang w:val="en-US" w:eastAsia="zh-CN"/>
        </w:rPr>
        <w:t>7</w:t>
      </w:r>
      <w:r>
        <w:rPr>
          <w:rFonts w:hint="eastAsia" w:ascii="仿宋_GB2312" w:hAnsi="宋体" w:eastAsia="仿宋_GB2312" w:cs="仿宋_GB2312"/>
          <w:kern w:val="0"/>
          <w:sz w:val="32"/>
          <w:szCs w:val="32"/>
        </w:rPr>
        <w:t>月</w:t>
      </w:r>
      <w:r>
        <w:rPr>
          <w:rFonts w:hint="default" w:ascii="仿宋_GB2312" w:hAnsi="宋体" w:eastAsia="仿宋_GB2312" w:cs="仿宋_GB2312"/>
          <w:kern w:val="0"/>
          <w:sz w:val="32"/>
          <w:szCs w:val="32"/>
          <w:lang w:val="en-US" w:eastAsia="zh-CN"/>
        </w:rPr>
        <w:t>25</w:t>
      </w:r>
      <w:r>
        <w:rPr>
          <w:rFonts w:hint="eastAsia" w:ascii="仿宋_GB2312" w:hAnsi="宋体" w:eastAsia="仿宋_GB2312" w:cs="仿宋_GB2312"/>
          <w:kern w:val="0"/>
          <w:sz w:val="32"/>
          <w:szCs w:val="32"/>
        </w:rPr>
        <w:t>日12:00前提交至宁东管委会</w:t>
      </w:r>
      <w:r>
        <w:rPr>
          <w:rFonts w:hint="eastAsia" w:ascii="仿宋_GB2312" w:hAnsi="宋体" w:eastAsia="仿宋_GB2312" w:cs="仿宋_GB2312"/>
          <w:kern w:val="0"/>
          <w:sz w:val="32"/>
          <w:szCs w:val="32"/>
          <w:lang w:val="en-US" w:eastAsia="zh-CN"/>
        </w:rPr>
        <w:t>13</w:t>
      </w:r>
      <w:r>
        <w:rPr>
          <w:rFonts w:hint="eastAsia" w:ascii="仿宋_GB2312" w:hAnsi="宋体" w:eastAsia="仿宋_GB2312" w:cs="仿宋_GB2312"/>
          <w:kern w:val="0"/>
          <w:sz w:val="32"/>
          <w:szCs w:val="32"/>
        </w:rPr>
        <w:t>楼</w:t>
      </w:r>
      <w:r>
        <w:rPr>
          <w:rFonts w:hint="eastAsia" w:ascii="仿宋_GB2312" w:hAnsi="宋体" w:eastAsia="仿宋_GB2312" w:cs="仿宋_GB2312"/>
          <w:kern w:val="0"/>
          <w:sz w:val="32"/>
          <w:szCs w:val="32"/>
          <w:lang w:val="en-US" w:eastAsia="zh-CN"/>
        </w:rPr>
        <w:t>1317办公</w:t>
      </w:r>
      <w:r>
        <w:rPr>
          <w:rFonts w:hint="eastAsia" w:ascii="仿宋_GB2312" w:hAnsi="宋体" w:eastAsia="仿宋_GB2312" w:cs="仿宋_GB2312"/>
          <w:kern w:val="0"/>
          <w:sz w:val="32"/>
          <w:szCs w:val="32"/>
        </w:rPr>
        <w:t>室，</w:t>
      </w:r>
      <w:r>
        <w:rPr>
          <w:rFonts w:hint="eastAsia" w:ascii="仿宋_GB2312" w:hAnsi="宋体" w:eastAsia="仿宋_GB2312" w:cs="仿宋_GB2312"/>
          <w:kern w:val="0"/>
          <w:sz w:val="32"/>
          <w:szCs w:val="32"/>
          <w:lang w:eastAsia="zh-CN"/>
        </w:rPr>
        <w:t>逾期不再受理</w:t>
      </w:r>
      <w:r>
        <w:rPr>
          <w:rFonts w:hint="eastAsia" w:ascii="仿宋_GB2312" w:hAnsi="宋体" w:eastAsia="仿宋_GB2312" w:cs="仿宋_GB2312"/>
          <w:kern w:val="0"/>
          <w:sz w:val="32"/>
          <w:szCs w:val="32"/>
        </w:rPr>
        <w:t>。</w:t>
      </w:r>
    </w:p>
    <w:p>
      <w:pPr>
        <w:snapToGrid w:val="0"/>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七、公开比选</w:t>
      </w:r>
    </w:p>
    <w:p>
      <w:pPr>
        <w:snapToGrid w:val="0"/>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lang w:eastAsia="zh-CN"/>
        </w:rPr>
        <w:t>（一）</w:t>
      </w:r>
      <w:r>
        <w:rPr>
          <w:rFonts w:hint="eastAsia" w:ascii="仿宋_GB2312" w:hAnsi="宋体" w:eastAsia="仿宋_GB2312" w:cs="仿宋_GB2312"/>
          <w:kern w:val="0"/>
          <w:sz w:val="32"/>
          <w:szCs w:val="32"/>
        </w:rPr>
        <w:t>公开比选时间：202</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年</w:t>
      </w:r>
      <w:r>
        <w:rPr>
          <w:rFonts w:hint="eastAsia" w:ascii="仿宋_GB2312" w:hAnsi="宋体" w:eastAsia="仿宋_GB2312" w:cs="仿宋_GB2312"/>
          <w:kern w:val="0"/>
          <w:sz w:val="32"/>
          <w:szCs w:val="32"/>
          <w:lang w:val="en-US" w:eastAsia="zh-CN"/>
        </w:rPr>
        <w:t>7</w:t>
      </w:r>
      <w:r>
        <w:rPr>
          <w:rFonts w:hint="eastAsia" w:ascii="仿宋_GB2312" w:hAnsi="宋体" w:eastAsia="仿宋_GB2312" w:cs="仿宋_GB2312"/>
          <w:kern w:val="0"/>
          <w:sz w:val="32"/>
          <w:szCs w:val="32"/>
        </w:rPr>
        <w:t>月</w:t>
      </w:r>
      <w:r>
        <w:rPr>
          <w:rFonts w:hint="default" w:ascii="仿宋_GB2312" w:hAnsi="宋体" w:eastAsia="仿宋_GB2312" w:cs="仿宋_GB2312"/>
          <w:kern w:val="0"/>
          <w:sz w:val="32"/>
          <w:szCs w:val="32"/>
          <w:lang w:val="en-US" w:eastAsia="zh-CN"/>
        </w:rPr>
        <w:t>25</w:t>
      </w:r>
      <w:r>
        <w:rPr>
          <w:rFonts w:hint="eastAsia" w:ascii="仿宋_GB2312" w:hAnsi="宋体" w:eastAsia="仿宋_GB2312" w:cs="仿宋_GB2312"/>
          <w:kern w:val="0"/>
          <w:sz w:val="32"/>
          <w:szCs w:val="32"/>
        </w:rPr>
        <w:t>日14:00</w:t>
      </w:r>
    </w:p>
    <w:p>
      <w:pPr>
        <w:snapToGrid w:val="0"/>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lang w:eastAsia="zh-CN"/>
        </w:rPr>
        <w:t>（二）</w:t>
      </w:r>
      <w:r>
        <w:rPr>
          <w:rFonts w:hint="eastAsia" w:ascii="仿宋_GB2312" w:hAnsi="宋体" w:eastAsia="仿宋_GB2312" w:cs="仿宋_GB2312"/>
          <w:kern w:val="0"/>
          <w:sz w:val="32"/>
          <w:szCs w:val="32"/>
        </w:rPr>
        <w:t>公开比选地点：宁东管委会</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楼2号会议室</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kern w:val="0"/>
          <w:sz w:val="32"/>
          <w:szCs w:val="32"/>
          <w:lang w:eastAsia="zh-CN"/>
        </w:rPr>
        <w:t>（三）</w:t>
      </w:r>
      <w:r>
        <w:rPr>
          <w:rFonts w:hint="eastAsia" w:ascii="仿宋_GB2312" w:hAnsi="宋体" w:eastAsia="仿宋_GB2312" w:cs="仿宋_GB2312"/>
          <w:kern w:val="0"/>
          <w:sz w:val="32"/>
          <w:szCs w:val="32"/>
        </w:rPr>
        <w:t>参加人员：自然资源局按规定的时间和地</w:t>
      </w:r>
      <w:r>
        <w:rPr>
          <w:rFonts w:hint="eastAsia" w:ascii="仿宋_GB2312" w:hAnsi="宋体" w:eastAsia="仿宋_GB2312" w:cs="仿宋_GB2312"/>
          <w:color w:val="000000"/>
          <w:kern w:val="0"/>
          <w:sz w:val="32"/>
          <w:szCs w:val="32"/>
          <w:shd w:val="clear" w:color="auto" w:fill="FFFFFF"/>
        </w:rPr>
        <w:t>点组织公开比选，并邀请监督单位及所有参与比选人参加。</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eastAsia="zh-CN"/>
        </w:rPr>
        <w:t>（四）</w:t>
      </w:r>
      <w:r>
        <w:rPr>
          <w:rFonts w:hint="eastAsia" w:ascii="仿宋_GB2312" w:hAnsi="宋体" w:eastAsia="仿宋_GB2312" w:cs="仿宋_GB2312"/>
          <w:color w:val="000000"/>
          <w:kern w:val="0"/>
          <w:sz w:val="32"/>
          <w:szCs w:val="32"/>
          <w:shd w:val="clear" w:color="auto" w:fill="FFFFFF"/>
        </w:rPr>
        <w:t>比选程序：</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val="en-US" w:eastAsia="zh-CN"/>
        </w:rPr>
        <w:t>1.</w:t>
      </w:r>
      <w:r>
        <w:rPr>
          <w:rFonts w:hint="eastAsia" w:ascii="仿宋_GB2312" w:hAnsi="宋体" w:eastAsia="仿宋_GB2312" w:cs="仿宋_GB2312"/>
          <w:color w:val="000000"/>
          <w:kern w:val="0"/>
          <w:sz w:val="32"/>
          <w:szCs w:val="32"/>
          <w:shd w:val="clear" w:color="auto" w:fill="FFFFFF"/>
        </w:rPr>
        <w:t>公开比选由</w:t>
      </w:r>
      <w:r>
        <w:rPr>
          <w:rFonts w:hint="eastAsia" w:ascii="仿宋_GB2312" w:hAnsi="宋体" w:eastAsia="仿宋_GB2312" w:cs="仿宋_GB2312"/>
          <w:kern w:val="0"/>
          <w:sz w:val="32"/>
          <w:szCs w:val="32"/>
        </w:rPr>
        <w:t>自然资源局</w:t>
      </w:r>
      <w:r>
        <w:rPr>
          <w:rFonts w:hint="eastAsia" w:ascii="仿宋_GB2312" w:hAnsi="宋体" w:eastAsia="仿宋_GB2312" w:cs="仿宋_GB2312"/>
          <w:color w:val="000000"/>
          <w:kern w:val="0"/>
          <w:sz w:val="32"/>
          <w:szCs w:val="32"/>
          <w:shd w:val="clear" w:color="auto" w:fill="FFFFFF"/>
        </w:rPr>
        <w:t>主持。</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val="en-US" w:eastAsia="zh-CN"/>
        </w:rPr>
        <w:t>2.</w:t>
      </w:r>
      <w:r>
        <w:rPr>
          <w:rFonts w:hint="eastAsia" w:ascii="仿宋_GB2312" w:hAnsi="宋体" w:eastAsia="仿宋_GB2312" w:cs="仿宋_GB2312"/>
          <w:color w:val="000000"/>
          <w:kern w:val="0"/>
          <w:sz w:val="32"/>
          <w:szCs w:val="32"/>
          <w:shd w:val="clear" w:color="auto" w:fill="FFFFFF"/>
        </w:rPr>
        <w:t>由监督单位检查比选文件的密封情况。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val="en-US" w:eastAsia="zh-CN"/>
        </w:rPr>
        <w:t>3.</w:t>
      </w:r>
      <w:r>
        <w:rPr>
          <w:rFonts w:hint="eastAsia" w:ascii="仿宋_GB2312" w:hAnsi="宋体" w:eastAsia="仿宋_GB2312" w:cs="仿宋_GB2312"/>
          <w:color w:val="000000"/>
          <w:kern w:val="0"/>
          <w:sz w:val="32"/>
          <w:szCs w:val="32"/>
          <w:shd w:val="clear" w:color="auto" w:fill="FFFFFF"/>
        </w:rPr>
        <w:t>经确认无误后，由有关工作人员当众拆封，宣读报价，并经参选人授权委托人确认签字。</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八、监督单位</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比选监督单位由管委会经济发展局、财政金融局组成。</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九、比选原则及主要方法</w:t>
      </w:r>
    </w:p>
    <w:p>
      <w:pPr>
        <w:snapToGrid w:val="0"/>
        <w:spacing w:line="560" w:lineRule="exact"/>
        <w:ind w:firstLine="642" w:firstLineChars="200"/>
        <w:rPr>
          <w:rFonts w:hint="eastAsia" w:ascii="仿宋_GB2312" w:hAnsi="宋体" w:eastAsia="仿宋_GB2312" w:cs="宋体"/>
          <w:kern w:val="0"/>
          <w:sz w:val="32"/>
          <w:szCs w:val="32"/>
        </w:rPr>
      </w:pPr>
      <w:r>
        <w:rPr>
          <w:rFonts w:hint="eastAsia" w:ascii="仿宋_GB2312" w:hAnsi="宋体" w:eastAsia="仿宋_GB2312" w:cs="仿宋_GB2312"/>
          <w:b/>
          <w:bCs/>
          <w:color w:val="000000"/>
          <w:kern w:val="0"/>
          <w:sz w:val="32"/>
          <w:szCs w:val="32"/>
          <w:shd w:val="clear" w:color="auto" w:fill="FFFFFF"/>
        </w:rPr>
        <w:t>（一）</w:t>
      </w:r>
      <w:r>
        <w:rPr>
          <w:rFonts w:hint="eastAsia" w:ascii="仿宋_GB2312" w:hAnsi="宋体" w:eastAsia="仿宋_GB2312" w:cs="宋体"/>
          <w:b/>
          <w:bCs/>
          <w:kern w:val="0"/>
          <w:sz w:val="32"/>
          <w:szCs w:val="32"/>
        </w:rPr>
        <w:t>比选办法</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宋体"/>
          <w:kern w:val="0"/>
          <w:sz w:val="32"/>
          <w:szCs w:val="32"/>
        </w:rPr>
        <w:t>本次</w:t>
      </w:r>
      <w:r>
        <w:rPr>
          <w:rFonts w:hint="eastAsia" w:ascii="仿宋_GB2312" w:hAnsi="宋体" w:eastAsia="仿宋_GB2312" w:cs="仿宋_GB2312"/>
          <w:color w:val="000000"/>
          <w:kern w:val="0"/>
          <w:sz w:val="32"/>
          <w:szCs w:val="32"/>
          <w:shd w:val="clear" w:color="auto" w:fill="FFFFFF"/>
        </w:rPr>
        <w:t>公开比选采用综合评估法，比选人根据参选单位提供的比选资料，综合评判资质、报价、财务状况等因素，确定一家为中选单位。</w:t>
      </w:r>
    </w:p>
    <w:p>
      <w:pPr>
        <w:snapToGrid w:val="0"/>
        <w:spacing w:line="560" w:lineRule="exact"/>
        <w:ind w:firstLine="642" w:firstLineChars="200"/>
        <w:rPr>
          <w:rFonts w:ascii="仿宋_GB2312" w:hAnsi="宋体" w:eastAsia="仿宋_GB2312" w:cs="仿宋_GB2312"/>
          <w:b/>
          <w:bCs/>
          <w:color w:val="000000"/>
          <w:kern w:val="0"/>
          <w:sz w:val="32"/>
          <w:szCs w:val="32"/>
          <w:shd w:val="clear" w:color="auto" w:fill="FFFFFF"/>
        </w:rPr>
      </w:pPr>
      <w:r>
        <w:rPr>
          <w:rFonts w:hint="eastAsia" w:ascii="仿宋_GB2312" w:hAnsi="宋体" w:eastAsia="仿宋_GB2312" w:cs="宋体"/>
          <w:b/>
          <w:bCs/>
          <w:kern w:val="0"/>
          <w:sz w:val="32"/>
          <w:szCs w:val="32"/>
        </w:rPr>
        <w:t>（二）评估办法</w:t>
      </w:r>
    </w:p>
    <w:tbl>
      <w:tblPr>
        <w:tblStyle w:val="7"/>
        <w:tblpPr w:leftFromText="180" w:rightFromText="180" w:vertAnchor="text" w:horzAnchor="page" w:tblpXSpec="center" w:tblpY="144"/>
        <w:tblOverlap w:val="never"/>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525"/>
        <w:gridCol w:w="1525"/>
        <w:gridCol w:w="5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jc w:val="center"/>
        </w:trPr>
        <w:tc>
          <w:tcPr>
            <w:tcW w:w="6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525"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评分项</w:t>
            </w:r>
          </w:p>
        </w:tc>
        <w:tc>
          <w:tcPr>
            <w:tcW w:w="1525"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分值区间</w:t>
            </w:r>
          </w:p>
        </w:tc>
        <w:tc>
          <w:tcPr>
            <w:tcW w:w="5037"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评分主要因素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exact"/>
          <w:jc w:val="center"/>
        </w:trPr>
        <w:tc>
          <w:tcPr>
            <w:tcW w:w="6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525"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报价</w:t>
            </w:r>
          </w:p>
        </w:tc>
        <w:tc>
          <w:tcPr>
            <w:tcW w:w="1525"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w:t>
            </w:r>
          </w:p>
        </w:tc>
        <w:tc>
          <w:tcPr>
            <w:tcW w:w="5037" w:type="dxa"/>
            <w:vAlign w:val="center"/>
          </w:tcPr>
          <w:p>
            <w:pPr>
              <w:snapToGrid w:val="0"/>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1.参选报价的合理性；</w:t>
            </w:r>
          </w:p>
          <w:p>
            <w:pPr>
              <w:snapToGrid w:val="0"/>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2.有无价格及其他方面的优惠；</w:t>
            </w:r>
          </w:p>
          <w:p>
            <w:pPr>
              <w:snapToGrid w:val="0"/>
              <w:spacing w:line="400" w:lineRule="exact"/>
              <w:jc w:val="left"/>
              <w:rPr>
                <w:rFonts w:ascii="仿宋_GB2312" w:hAnsi="仿宋_GB2312" w:eastAsia="仿宋_GB2312" w:cs="仿宋_GB2312"/>
                <w:sz w:val="28"/>
                <w:szCs w:val="28"/>
              </w:rPr>
            </w:pPr>
            <w:r>
              <w:rPr>
                <w:rFonts w:hint="eastAsia" w:ascii="仿宋_GB2312" w:hAnsi="宋体" w:eastAsia="仿宋_GB2312" w:cs="宋体"/>
                <w:kern w:val="0"/>
                <w:sz w:val="28"/>
                <w:szCs w:val="28"/>
              </w:rPr>
              <w:t>3.业主对其价格的承受能力</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exact"/>
          <w:jc w:val="center"/>
        </w:trPr>
        <w:tc>
          <w:tcPr>
            <w:tcW w:w="6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525" w:type="dxa"/>
            <w:vAlign w:val="center"/>
          </w:tcPr>
          <w:p>
            <w:pPr>
              <w:spacing w:line="40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方案及</w:t>
            </w:r>
          </w:p>
          <w:p>
            <w:pPr>
              <w:spacing w:line="400" w:lineRule="exact"/>
              <w:jc w:val="center"/>
              <w:rPr>
                <w:rFonts w:ascii="仿宋_GB2312" w:hAnsi="仿宋_GB2312" w:eastAsia="仿宋_GB2312" w:cs="仿宋_GB2312"/>
                <w:sz w:val="28"/>
                <w:szCs w:val="28"/>
              </w:rPr>
            </w:pPr>
            <w:r>
              <w:rPr>
                <w:rFonts w:hint="eastAsia" w:ascii="仿宋_GB2312" w:hAnsi="宋体" w:eastAsia="仿宋_GB2312" w:cs="宋体"/>
                <w:kern w:val="0"/>
                <w:sz w:val="28"/>
                <w:szCs w:val="28"/>
              </w:rPr>
              <w:t>服务</w:t>
            </w:r>
          </w:p>
        </w:tc>
        <w:tc>
          <w:tcPr>
            <w:tcW w:w="1525"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w:t>
            </w:r>
          </w:p>
        </w:tc>
        <w:tc>
          <w:tcPr>
            <w:tcW w:w="5037" w:type="dxa"/>
            <w:vAlign w:val="center"/>
          </w:tcPr>
          <w:p>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1.比选方案的科学性、先进性、合理性等；</w:t>
            </w:r>
          </w:p>
          <w:p>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2.满足本项目工期的安排是否合理；</w:t>
            </w:r>
          </w:p>
          <w:p>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3.工期的保障措施是否可靠；</w:t>
            </w:r>
          </w:p>
          <w:p>
            <w:pPr>
              <w:spacing w:line="400" w:lineRule="exact"/>
              <w:rPr>
                <w:rFonts w:hint="eastAsia" w:ascii="仿宋_GB2312" w:hAnsi="仿宋_GB2312" w:eastAsia="仿宋_GB2312" w:cs="仿宋_GB2312"/>
                <w:sz w:val="28"/>
                <w:szCs w:val="28"/>
                <w:lang w:eastAsia="zh-CN"/>
              </w:rPr>
            </w:pPr>
            <w:r>
              <w:rPr>
                <w:rFonts w:hint="eastAsia" w:ascii="仿宋_GB2312" w:hAnsi="宋体" w:eastAsia="仿宋_GB2312" w:cs="宋体"/>
                <w:kern w:val="0"/>
                <w:sz w:val="28"/>
                <w:szCs w:val="28"/>
              </w:rPr>
              <w:t>4.具有一定的服务承诺</w:t>
            </w:r>
            <w:r>
              <w:rPr>
                <w:rFonts w:hint="eastAsia" w:ascii="仿宋_GB2312" w:hAnsi="宋体" w:eastAsia="仿宋_GB2312" w:cs="宋体"/>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6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525" w:type="dxa"/>
            <w:vAlign w:val="center"/>
          </w:tcPr>
          <w:p>
            <w:pPr>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服务单位综合实力</w:t>
            </w:r>
          </w:p>
        </w:tc>
        <w:tc>
          <w:tcPr>
            <w:tcW w:w="1525"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0-10</w:t>
            </w:r>
          </w:p>
        </w:tc>
        <w:tc>
          <w:tcPr>
            <w:tcW w:w="5037" w:type="dxa"/>
            <w:vAlign w:val="center"/>
          </w:tcPr>
          <w:p>
            <w:pPr>
              <w:snapToGrid w:val="0"/>
              <w:spacing w:line="400" w:lineRule="exac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服务单位综合实力（在规定时间内配合业主完成全部工作内容的能力）</w:t>
            </w:r>
            <w:r>
              <w:rPr>
                <w:rFonts w:hint="eastAsia" w:ascii="仿宋_GB2312" w:hAnsi="宋体" w:eastAsia="仿宋_GB2312" w:cs="宋体"/>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exact"/>
          <w:jc w:val="center"/>
        </w:trPr>
        <w:tc>
          <w:tcPr>
            <w:tcW w:w="63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525" w:type="dxa"/>
            <w:vAlign w:val="center"/>
          </w:tcPr>
          <w:p>
            <w:pPr>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人员因素</w:t>
            </w:r>
          </w:p>
        </w:tc>
        <w:tc>
          <w:tcPr>
            <w:tcW w:w="1525"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0</w:t>
            </w:r>
          </w:p>
        </w:tc>
        <w:tc>
          <w:tcPr>
            <w:tcW w:w="5037" w:type="dxa"/>
            <w:vAlign w:val="center"/>
          </w:tcPr>
          <w:p>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1.拟投入本项目的工作人员安排是否合理；</w:t>
            </w:r>
          </w:p>
          <w:p>
            <w:pPr>
              <w:snapToGrid w:val="0"/>
              <w:spacing w:line="400" w:lineRule="exac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2.拟投入本项目的主要工作人员资质情况，其他专业人员资质情况</w:t>
            </w:r>
            <w:r>
              <w:rPr>
                <w:rFonts w:hint="eastAsia" w:ascii="仿宋_GB2312" w:hAnsi="宋体" w:eastAsia="仿宋_GB2312" w:cs="宋体"/>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jc w:val="center"/>
        </w:trPr>
        <w:tc>
          <w:tcPr>
            <w:tcW w:w="3683" w:type="dxa"/>
            <w:gridSpan w:val="3"/>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总分</w:t>
            </w:r>
          </w:p>
        </w:tc>
        <w:tc>
          <w:tcPr>
            <w:tcW w:w="5037" w:type="dxa"/>
            <w:vAlign w:val="center"/>
          </w:tcPr>
          <w:p>
            <w:pPr>
              <w:snapToGrid w:val="0"/>
              <w:spacing w:line="400" w:lineRule="exact"/>
              <w:jc w:val="center"/>
              <w:rPr>
                <w:rFonts w:ascii="仿宋_GB2312" w:hAnsi="宋体" w:eastAsia="仿宋_GB2312" w:cs="宋体"/>
                <w:kern w:val="0"/>
                <w:sz w:val="28"/>
                <w:szCs w:val="28"/>
              </w:rPr>
            </w:pPr>
            <w:r>
              <w:rPr>
                <w:rFonts w:hint="eastAsia" w:ascii="仿宋_GB2312" w:hAnsi="仿宋_GB2312" w:eastAsia="仿宋_GB2312" w:cs="仿宋_GB2312"/>
                <w:sz w:val="28"/>
                <w:szCs w:val="28"/>
              </w:rPr>
              <w:t>100分</w:t>
            </w:r>
          </w:p>
        </w:tc>
      </w:tr>
    </w:tbl>
    <w:p>
      <w:pPr>
        <w:snapToGrid w:val="0"/>
        <w:spacing w:line="560" w:lineRule="exact"/>
        <w:ind w:firstLine="640" w:firstLineChars="200"/>
        <w:rPr>
          <w:rFonts w:hint="eastAsia" w:ascii="仿宋_GB2312" w:hAnsi="宋体" w:eastAsia="仿宋_GB2312" w:cs="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经过监督单位确认的中选人由</w:t>
      </w:r>
      <w:r>
        <w:rPr>
          <w:rFonts w:hint="eastAsia" w:ascii="仿宋_GB2312" w:hAnsi="宋体" w:eastAsia="仿宋_GB2312" w:cs="仿宋_GB2312"/>
          <w:kern w:val="0"/>
          <w:sz w:val="32"/>
          <w:szCs w:val="32"/>
        </w:rPr>
        <w:t>自然资源局</w:t>
      </w:r>
      <w:r>
        <w:rPr>
          <w:rFonts w:hint="eastAsia" w:ascii="仿宋_GB2312" w:hAnsi="宋体" w:eastAsia="仿宋_GB2312" w:cs="仿宋_GB2312"/>
          <w:color w:val="000000"/>
          <w:kern w:val="0"/>
          <w:sz w:val="32"/>
          <w:szCs w:val="32"/>
          <w:shd w:val="clear" w:color="auto" w:fill="FFFFFF"/>
        </w:rPr>
        <w:t>进行公示，公示期为</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日历天，公示期后直接签订委托合同。</w:t>
      </w:r>
    </w:p>
    <w:p>
      <w:pPr>
        <w:pStyle w:val="3"/>
      </w:pPr>
    </w:p>
    <w:sectPr>
      <w:footerReference r:id="rId4" w:type="first"/>
      <w:footerReference r:id="rId3" w:type="default"/>
      <w:pgSz w:w="11907" w:h="16840"/>
      <w:pgMar w:top="2098" w:right="1474" w:bottom="1984" w:left="1587" w:header="851" w:footer="1418" w:gutter="0"/>
      <w:pgNumType w:fmt="numberInDash"/>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魏碑_GBK">
    <w:panose1 w:val="02000000000000000000"/>
    <w:charset w:val="86"/>
    <w:family w:val="auto"/>
    <w:pitch w:val="default"/>
    <w:sig w:usb0="00000001" w:usb1="08000000" w:usb2="00000000" w:usb3="00000000" w:csb0="00040000" w:csb1="00000000"/>
  </w:font>
  <w:font w:name="CESI小标宋-GB13000">
    <w:panose1 w:val="02000500000000000000"/>
    <w:charset w:val="86"/>
    <w:family w:val="auto"/>
    <w:pitch w:val="default"/>
    <w:sig w:usb0="800002BF" w:usb1="18CF7CF8" w:usb2="00000016" w:usb3="00000000" w:csb0="0004000F" w:csb1="00000000"/>
  </w:font>
  <w:font w:name="CESI楷体-GB13000">
    <w:panose1 w:val="02000500000000000000"/>
    <w:charset w:val="86"/>
    <w:family w:val="auto"/>
    <w:pitch w:val="default"/>
    <w:sig w:usb0="800002BF" w:usb1="38CF7CF8" w:usb2="00000016" w:usb3="00000000" w:csb0="0004000F" w:csb1="00000000"/>
  </w:font>
  <w:font w:name="CESI仿宋-GB18030">
    <w:panose1 w:val="02000500000000000000"/>
    <w:charset w:val="86"/>
    <w:family w:val="auto"/>
    <w:pitch w:val="default"/>
    <w:sig w:usb0="A00002BF" w:usb1="38C7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隶书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CESI仿宋-GB13000">
    <w:panose1 w:val="02000500000000000000"/>
    <w:charset w:val="86"/>
    <w:family w:val="auto"/>
    <w:pitch w:val="default"/>
    <w:sig w:usb0="800002BF" w:usb1="18CF7CF8"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CESI宋体-GB13000">
    <w:panose1 w:val="02000500000000000000"/>
    <w:charset w:val="86"/>
    <w:family w:val="auto"/>
    <w:pitch w:val="default"/>
    <w:sig w:usb0="800002BF" w:usb1="18C77CF8" w:usb2="00000016" w:usb3="00000000" w:csb0="0004000F" w:csb1="00000000"/>
  </w:font>
  <w:font w:name="CESI小标宋-GB18030">
    <w:panose1 w:val="02000500000000000000"/>
    <w:charset w:val="86"/>
    <w:family w:val="auto"/>
    <w:pitch w:val="default"/>
    <w:sig w:usb0="A00002BF" w:usb1="38CF7CFA" w:usb2="00000016" w:usb3="00000000" w:csb0="0004000F" w:csb1="00000000"/>
  </w:font>
  <w:font w:name="CESI楷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rPr>
                              <w:b w:val="0"/>
                              <w:bCs w:val="0"/>
                              <w:sz w:val="28"/>
                              <w:szCs w:val="28"/>
                            </w:rPr>
                            <w:fldChar w:fldCharType="begin"/>
                          </w:r>
                          <w:r>
                            <w:rPr>
                              <w:b w:val="0"/>
                              <w:bCs w:val="0"/>
                              <w:sz w:val="28"/>
                              <w:szCs w:val="28"/>
                            </w:rPr>
                            <w:instrText xml:space="preserve"> PAGE  \* MERGEFORMAT </w:instrText>
                          </w:r>
                          <w:r>
                            <w:rPr>
                              <w:b w:val="0"/>
                              <w:bCs w:val="0"/>
                              <w:sz w:val="28"/>
                              <w:szCs w:val="28"/>
                            </w:rPr>
                            <w:fldChar w:fldCharType="separate"/>
                          </w:r>
                          <w:r>
                            <w:rPr>
                              <w:b w:val="0"/>
                              <w:bCs w:val="0"/>
                              <w:sz w:val="28"/>
                              <w:szCs w:val="28"/>
                            </w:rPr>
                            <w:t>- 1 -</w:t>
                          </w:r>
                          <w:r>
                            <w:rPr>
                              <w:b w:val="0"/>
                              <w:bCs w:val="0"/>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fyKa93AIAACQGAAAOAAAAZHJz&#10;L2Uyb0RvYy54bWytVM1u1DAQviPxDpbvaX6abrOrZqvtpkFIFa1UEGev42wsHNuyvT8FcYU34MSF&#10;O8/V52CcbHbbglAl2EN27Bl/nu+b8Zydb1uB1sxYrmSO46MIIyapqrhc5vjd2zLIMLKOyIoIJVmO&#10;75jF59OXL842esIS1ShRMYMARNrJRue4cU5PwtDShrXEHinNJDhrZVriYGmWYWXIBtBbESZRNAo3&#10;ylTaKMqshd2id+IdonkOoKprTlmh6Kpl0vWohgnigJJtuLZ42mVb14y667q2zCGRY2Dqui9cAvbC&#10;f8PpGZksDdENp7sUyHNSeMKpJVzCpXuogjiCVob/BtVyapRVtTuiqg17Ip0iwCKOnmhz2xDNOi4g&#10;tdV70e3/g6Vv1jcG8SrHCUaStFDw+29f77//vP/xBSVeno22E4i61RDnthdqC00z7FvY9Ky3tWn9&#10;P/BB4Adx7/bisq1D1B/KkiyLwEXBNywAPzwc18a6V0y1yBs5NlC9TlSyvrKuDx1C/G1SlVyIroJC&#10;ok2OR8cnUXdg7wFwIX0sZAEYO6uvzKdxNL7MLrM0SJPRZZBGRRHMynkajMr49KQ4LubzIv7s8eJ0&#10;0vCqYtLfN3RJnD6vCrtO6eu77xOrBK88nE/JmuViLgxaE+jSsvt5hSH5B2Hh4zQ6N7B6QilO0ugi&#10;GQflKDsN0jI9CcanURZE8fhiPIrScVqUjyldccn+ndIj9R8kTSa+YHtuC0Hoh79S8+kcqIECQ+FC&#10;34d9v3nLbRdbkMibC1XdQW8a1T9uq2nJ4dIrYt0NMfCaoedg3rlr+NRCQZ+onYVRo8zHP+37eCgv&#10;eDHawHTIsYRhiJF4LeHxAaAbDDMYi8GQq3auoJAxzFFNOxMOGCcGszaqfQ9DcObvABeRFG7KsRvM&#10;uesnFAxRymazLmilDV82/QEYHZq4K3mrqb+mayE9Wzl4D90zOagCUvoFDI9O1N2g89Pp4bqLOgz3&#10;6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X8imvdwCAAAkBgAADgAAAAAAAAABACAAAAA1&#10;AQAAZHJzL2Uyb0RvYy54bWxQSwUGAAAAAAYABgBZAQAAgwYAAAAA&#10;">
              <v:fill on="f" focussize="0,0"/>
              <v:stroke on="f" weight="0.5pt"/>
              <v:imagedata o:title=""/>
              <o:lock v:ext="edit" aspectratio="f"/>
              <v:textbox inset="0mm,0mm,0mm,0mm" style="mso-fit-shape-to-text:t;">
                <w:txbxContent>
                  <w:p>
                    <w:pPr>
                      <w:pStyle w:val="5"/>
                    </w:pPr>
                    <w:r>
                      <w:rPr>
                        <w:b w:val="0"/>
                        <w:bCs w:val="0"/>
                        <w:sz w:val="28"/>
                        <w:szCs w:val="28"/>
                      </w:rPr>
                      <w:fldChar w:fldCharType="begin"/>
                    </w:r>
                    <w:r>
                      <w:rPr>
                        <w:b w:val="0"/>
                        <w:bCs w:val="0"/>
                        <w:sz w:val="28"/>
                        <w:szCs w:val="28"/>
                      </w:rPr>
                      <w:instrText xml:space="preserve"> PAGE  \* MERGEFORMAT </w:instrText>
                    </w:r>
                    <w:r>
                      <w:rPr>
                        <w:b w:val="0"/>
                        <w:bCs w:val="0"/>
                        <w:sz w:val="28"/>
                        <w:szCs w:val="28"/>
                      </w:rPr>
                      <w:fldChar w:fldCharType="separate"/>
                    </w:r>
                    <w:r>
                      <w:rPr>
                        <w:b w:val="0"/>
                        <w:bCs w:val="0"/>
                        <w:sz w:val="28"/>
                        <w:szCs w:val="28"/>
                      </w:rPr>
                      <w:t>- 1 -</w:t>
                    </w:r>
                    <w:r>
                      <w:rPr>
                        <w:b w:val="0"/>
                        <w:bCs w:val="0"/>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NjUzMDk4ZWVkMTQxNjdkYTZlNmQ4M2IzYmE5ZjcifQ=="/>
  </w:docVars>
  <w:rsids>
    <w:rsidRoot w:val="003C5160"/>
    <w:rsid w:val="00137023"/>
    <w:rsid w:val="0015004F"/>
    <w:rsid w:val="001E2732"/>
    <w:rsid w:val="001F6C0F"/>
    <w:rsid w:val="002157D6"/>
    <w:rsid w:val="00245D9D"/>
    <w:rsid w:val="0038189E"/>
    <w:rsid w:val="0039743A"/>
    <w:rsid w:val="003C5160"/>
    <w:rsid w:val="003D47C3"/>
    <w:rsid w:val="003F079D"/>
    <w:rsid w:val="00422592"/>
    <w:rsid w:val="00584CCD"/>
    <w:rsid w:val="005F05ED"/>
    <w:rsid w:val="0060168A"/>
    <w:rsid w:val="006764E9"/>
    <w:rsid w:val="006B582D"/>
    <w:rsid w:val="00716E68"/>
    <w:rsid w:val="008B1103"/>
    <w:rsid w:val="008D1700"/>
    <w:rsid w:val="00942BC9"/>
    <w:rsid w:val="009D263E"/>
    <w:rsid w:val="00AD36CA"/>
    <w:rsid w:val="00C22C5E"/>
    <w:rsid w:val="00CE05FA"/>
    <w:rsid w:val="00CF754D"/>
    <w:rsid w:val="00D964A9"/>
    <w:rsid w:val="00DE5724"/>
    <w:rsid w:val="00E32445"/>
    <w:rsid w:val="00E75FBB"/>
    <w:rsid w:val="00EF2D11"/>
    <w:rsid w:val="0130300C"/>
    <w:rsid w:val="01B012BC"/>
    <w:rsid w:val="02CB683B"/>
    <w:rsid w:val="04F524B1"/>
    <w:rsid w:val="066231BB"/>
    <w:rsid w:val="06D3120C"/>
    <w:rsid w:val="099F5C8C"/>
    <w:rsid w:val="0AB07A61"/>
    <w:rsid w:val="118A56CB"/>
    <w:rsid w:val="11D743C4"/>
    <w:rsid w:val="1BDF5194"/>
    <w:rsid w:val="1EF02070"/>
    <w:rsid w:val="2269311A"/>
    <w:rsid w:val="23F4750D"/>
    <w:rsid w:val="250F43AC"/>
    <w:rsid w:val="278E7359"/>
    <w:rsid w:val="29B919ED"/>
    <w:rsid w:val="314E4456"/>
    <w:rsid w:val="32A40F4A"/>
    <w:rsid w:val="34AD78CF"/>
    <w:rsid w:val="36574FB4"/>
    <w:rsid w:val="3A487884"/>
    <w:rsid w:val="3A874696"/>
    <w:rsid w:val="3D053F47"/>
    <w:rsid w:val="3F6E10A9"/>
    <w:rsid w:val="4015593D"/>
    <w:rsid w:val="4296466B"/>
    <w:rsid w:val="45E14925"/>
    <w:rsid w:val="47407C15"/>
    <w:rsid w:val="47596E9F"/>
    <w:rsid w:val="48294A41"/>
    <w:rsid w:val="57F5BA82"/>
    <w:rsid w:val="5DFA6DF7"/>
    <w:rsid w:val="65EFD5A1"/>
    <w:rsid w:val="6656075B"/>
    <w:rsid w:val="69833F84"/>
    <w:rsid w:val="6A5838B6"/>
    <w:rsid w:val="6B7A76EF"/>
    <w:rsid w:val="6D1622C3"/>
    <w:rsid w:val="6E4E2C20"/>
    <w:rsid w:val="751937F0"/>
    <w:rsid w:val="773B2FFB"/>
    <w:rsid w:val="776B8A7B"/>
    <w:rsid w:val="778F6F79"/>
    <w:rsid w:val="784E7C29"/>
    <w:rsid w:val="79285642"/>
    <w:rsid w:val="7FFD1DB6"/>
    <w:rsid w:val="F8EEA7A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qFormat/>
    <w:locked/>
    <w:uiPriority w:val="99"/>
    <w:pPr>
      <w:keepNext/>
      <w:keepLines/>
      <w:spacing w:before="280" w:after="290" w:line="376" w:lineRule="auto"/>
      <w:outlineLvl w:val="3"/>
    </w:pPr>
    <w:rPr>
      <w:rFonts w:ascii="Cambria" w:hAnsi="Cambria" w:cs="Cambria"/>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rPr>
      <w:rFonts w:ascii="Arial" w:hAnsi="Arial" w:eastAsia="黑体"/>
      <w:b/>
      <w:sz w:val="32"/>
      <w:szCs w:val="24"/>
    </w:rPr>
  </w:style>
  <w:style w:type="paragraph" w:styleId="4">
    <w:name w:val="Balloon Text"/>
    <w:basedOn w:val="1"/>
    <w:link w:val="10"/>
    <w:semiHidden/>
    <w:unhideWhenUsed/>
    <w:qFormat/>
    <w:uiPriority w:val="99"/>
    <w:rPr>
      <w:sz w:val="18"/>
      <w:szCs w:val="18"/>
    </w:r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Paragraph"/>
    <w:basedOn w:val="1"/>
    <w:qFormat/>
    <w:uiPriority w:val="99"/>
    <w:pPr>
      <w:spacing w:line="360" w:lineRule="auto"/>
      <w:ind w:firstLine="420" w:firstLineChars="200"/>
    </w:pPr>
    <w:rPr>
      <w:rFonts w:ascii="Calibri" w:hAnsi="Calibri" w:cs="Calibri"/>
    </w:rPr>
  </w:style>
  <w:style w:type="character" w:customStyle="1" w:styleId="10">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2845</Words>
  <Characters>3009</Characters>
  <Lines>2</Lines>
  <Paragraphs>6</Paragraphs>
  <TotalTime>10</TotalTime>
  <ScaleCrop>false</ScaleCrop>
  <LinksUpToDate>false</LinksUpToDate>
  <CharactersWithSpaces>3049</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2022-12-16T07:45:00Z</dcterms:created>
  <dc:creator>妥。</dc:creator>
  <cp:lastModifiedBy>hw</cp:lastModifiedBy>
  <cp:lastPrinted>2022-12-16T07:43:00Z</cp:lastPrinted>
  <dcterms:modified xsi:type="dcterms:W3CDTF">2023-07-19T11:14:17Z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EDC48EBF134647B9826F51515B91D75F_13</vt:lpwstr>
  </property>
</Properties>
</file>