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8"/>
          <w:szCs w:val="44"/>
          <w:lang w:val="en-US"/>
        </w:rPr>
      </w:pPr>
      <w:r>
        <w:rPr>
          <w:rFonts w:hint="eastAsia" w:ascii="方正小标宋简体" w:hAnsi="方正小标宋简体" w:eastAsia="方正小标宋简体" w:cs="方正小标宋简体"/>
          <w:sz w:val="48"/>
          <w:szCs w:val="44"/>
          <w:lang w:val="en-US"/>
        </w:rPr>
        <w:t>宁东基地煤化工园区蒸汽管网电动</w:t>
      </w:r>
    </w:p>
    <w:p>
      <w:pPr>
        <w:jc w:val="center"/>
        <w:rPr>
          <w:rFonts w:ascii="方正小标宋简体" w:hAnsi="方正小标宋简体" w:eastAsia="方正小标宋简体" w:cs="方正小标宋简体"/>
          <w:sz w:val="48"/>
          <w:szCs w:val="44"/>
          <w:lang w:val="en-US"/>
        </w:rPr>
      </w:pPr>
      <w:r>
        <w:rPr>
          <w:rFonts w:hint="eastAsia" w:ascii="方正小标宋简体" w:hAnsi="方正小标宋简体" w:eastAsia="方正小标宋简体" w:cs="方正小标宋简体"/>
          <w:sz w:val="48"/>
          <w:szCs w:val="44"/>
          <w:lang w:val="en-US"/>
        </w:rPr>
        <w:t>工艺阀供货安装</w:t>
      </w:r>
    </w:p>
    <w:p>
      <w:pPr>
        <w:jc w:val="center"/>
        <w:rPr>
          <w:rFonts w:ascii="方正小标宋简体" w:hAnsi="方正小标宋简体" w:eastAsia="方正小标宋简体" w:cs="方正小标宋简体"/>
          <w:sz w:val="48"/>
          <w:szCs w:val="44"/>
          <w:lang w:val="en-US"/>
        </w:rPr>
      </w:pPr>
    </w:p>
    <w:p>
      <w:pPr>
        <w:pStyle w:val="4"/>
        <w:rPr>
          <w:lang w:val="en-US"/>
        </w:rPr>
      </w:pP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件</w:t>
      </w:r>
    </w:p>
    <w:p>
      <w:pPr>
        <w:pStyle w:val="4"/>
      </w:pPr>
    </w:p>
    <w:p>
      <w:pPr>
        <w:spacing w:line="576" w:lineRule="exact"/>
        <w:ind w:firstLine="1680" w:firstLineChars="525"/>
        <w:jc w:val="both"/>
        <w:rPr>
          <w:rFonts w:ascii="仿宋_GB2312" w:eastAsia="仿宋_GB2312" w:cs="仿宋_GB2312"/>
          <w:sz w:val="32"/>
          <w:szCs w:val="32"/>
        </w:rPr>
      </w:pPr>
      <w:r>
        <w:rPr>
          <w:rFonts w:hint="eastAsia" w:ascii="仿宋_GB2312" w:eastAsia="仿宋_GB2312" w:cs="仿宋_GB2312"/>
          <w:sz w:val="32"/>
          <w:szCs w:val="32"/>
        </w:rPr>
        <w:t>编制单位：宁夏宁东开发投资有限公司</w:t>
      </w:r>
    </w:p>
    <w:p>
      <w:pPr>
        <w:spacing w:line="576" w:lineRule="exact"/>
        <w:ind w:firstLine="1680" w:firstLineChars="525"/>
        <w:jc w:val="both"/>
        <w:rPr>
          <w:rFonts w:ascii="仿宋_GB2312" w:eastAsia="仿宋_GB2312" w:cs="仿宋_GB2312"/>
          <w:sz w:val="32"/>
          <w:szCs w:val="32"/>
        </w:rPr>
      </w:pPr>
      <w:r>
        <w:rPr>
          <w:rFonts w:hint="eastAsia" w:ascii="仿宋_GB2312" w:eastAsia="仿宋_GB2312" w:cs="仿宋_GB2312"/>
          <w:sz w:val="32"/>
          <w:szCs w:val="32"/>
        </w:rPr>
        <w:t>编制时间：</w:t>
      </w:r>
      <w:r>
        <w:rPr>
          <w:rFonts w:ascii="仿宋_GB2312" w:eastAsia="仿宋_GB2312" w:cs="仿宋_GB2312"/>
          <w:sz w:val="32"/>
          <w:szCs w:val="32"/>
        </w:rPr>
        <w:t>20</w:t>
      </w:r>
      <w:r>
        <w:rPr>
          <w:rFonts w:hint="eastAsia" w:ascii="仿宋_GB2312" w:eastAsia="仿宋_GB2312" w:cs="仿宋_GB2312"/>
          <w:sz w:val="32"/>
          <w:szCs w:val="32"/>
        </w:rPr>
        <w:t>23年7月</w:t>
      </w:r>
      <w:bookmarkStart w:id="0" w:name="page4"/>
      <w:bookmarkEnd w:id="0"/>
      <w:r>
        <w:rPr>
          <w:rFonts w:hint="eastAsia" w:ascii="仿宋_GB2312" w:eastAsia="仿宋_GB2312" w:cs="仿宋_GB2312"/>
          <w:sz w:val="32"/>
          <w:szCs w:val="32"/>
          <w:lang w:val="en-US"/>
        </w:rPr>
        <w:t>31</w:t>
      </w:r>
      <w:r>
        <w:rPr>
          <w:rFonts w:hint="eastAsia" w:ascii="仿宋_GB2312" w:eastAsia="仿宋_GB2312" w:cs="仿宋_GB2312"/>
          <w:sz w:val="32"/>
          <w:szCs w:val="32"/>
        </w:rPr>
        <w:t>日</w:t>
      </w:r>
    </w:p>
    <w:p>
      <w:pPr>
        <w:jc w:val="center"/>
        <w:rPr>
          <w:rFonts w:ascii="方正小标宋简体" w:hAnsi="方正小标宋简体" w:eastAsia="方正小标宋简体" w:cs="方正小标宋简体"/>
          <w:sz w:val="48"/>
          <w:szCs w:val="44"/>
          <w:lang w:val="en-US"/>
        </w:rPr>
      </w:pPr>
      <w:r>
        <w:rPr>
          <w:rFonts w:hint="eastAsia" w:ascii="仿宋_GB2312" w:hAnsi="微软雅黑" w:eastAsia="仿宋_GB2312" w:cs="仿宋_GB2312"/>
          <w:color w:val="333333"/>
          <w:sz w:val="36"/>
          <w:szCs w:val="36"/>
        </w:rPr>
        <w:br w:type="page"/>
      </w:r>
      <w:r>
        <w:rPr>
          <w:rFonts w:hint="eastAsia" w:ascii="方正小标宋简体" w:hAnsi="方正小标宋简体" w:eastAsia="方正小标宋简体" w:cs="方正小标宋简体"/>
          <w:sz w:val="48"/>
          <w:szCs w:val="44"/>
          <w:lang w:val="en-US"/>
        </w:rPr>
        <w:t>宁东基地煤化工园区蒸汽管网电动</w:t>
      </w:r>
    </w:p>
    <w:p>
      <w:pPr>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8"/>
          <w:szCs w:val="44"/>
          <w:lang w:val="en-US"/>
        </w:rPr>
        <w:t>工艺阀供货安装</w:t>
      </w:r>
      <w:r>
        <w:rPr>
          <w:rFonts w:hint="eastAsia" w:ascii="方正小标宋简体" w:hAnsi="方正小标宋简体" w:eastAsia="方正小标宋简体" w:cs="方正小标宋简体"/>
          <w:sz w:val="44"/>
          <w:szCs w:val="44"/>
          <w:lang w:val="en-US"/>
        </w:rPr>
        <w:t>比选文件</w:t>
      </w:r>
    </w:p>
    <w:p>
      <w:pPr>
        <w:spacing w:line="560" w:lineRule="exact"/>
        <w:jc w:val="both"/>
        <w:rPr>
          <w:rFonts w:ascii="仿宋_GB2312" w:hAnsi="仿宋_GB2312" w:eastAsia="仿宋_GB2312" w:cs="仿宋_GB2312"/>
          <w:sz w:val="32"/>
          <w:szCs w:val="32"/>
        </w:rPr>
      </w:pP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根据《宁夏宁东开发投资有限公司总经理办公会议纪要》（2023·第20次）精神，我公司决定通过公开比选方式，选择宁东基地煤化工园区蒸汽管网电动工艺阀供货安装单位。现将相关事宜公告如下：</w:t>
      </w:r>
    </w:p>
    <w:p>
      <w:pPr>
        <w:spacing w:line="560" w:lineRule="exact"/>
        <w:ind w:firstLine="640" w:firstLineChars="200"/>
        <w:jc w:val="both"/>
        <w:rPr>
          <w:rFonts w:ascii="仿宋_GB2312" w:eastAsia="仿宋_GB2312" w:cs="Times New Roman"/>
          <w:sz w:val="32"/>
          <w:szCs w:val="32"/>
        </w:rPr>
      </w:pPr>
      <w:r>
        <w:rPr>
          <w:rFonts w:hint="eastAsia" w:ascii="黑体" w:hAnsi="黑体" w:eastAsia="黑体" w:cs="黑体"/>
          <w:sz w:val="32"/>
          <w:szCs w:val="32"/>
        </w:rPr>
        <w:t>一、工程概况</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项目名称：宁东基地煤化工园区蒸汽管网电动工艺阀供货安装</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建设单位：宁夏宁东开发投资有限公司</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项目地点：宁东基地煤化工园区</w:t>
      </w:r>
    </w:p>
    <w:p>
      <w:pPr>
        <w:spacing w:line="56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建设内容：在宁东基地煤化工园区蒸汽管网京能电厂出口处安装DN800、DN600电动工艺阀，在马莲台电厂出口处安装两组DN500电动工艺阀。</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工期：自合同签订之日起30个日历天内完成供货安装。</w:t>
      </w:r>
    </w:p>
    <w:p>
      <w:pPr>
        <w:autoSpaceDE/>
        <w:autoSpaceDN/>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二、参选单位资格要求</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（一）参选单位须具备独立法人资格，具有有效的营业执照。</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（二）参选单位营业执照经营范围须包括阀门的生产或销售。</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（三）参选单位须至少提供1个类似项目业绩。</w:t>
      </w:r>
    </w:p>
    <w:p>
      <w:pPr>
        <w:spacing w:line="560" w:lineRule="exact"/>
        <w:ind w:firstLine="480" w:firstLineChars="150"/>
        <w:rPr>
          <w:rFonts w:ascii="仿宋" w:hAnsi="仿宋" w:eastAsia="仿宋" w:cs="仿宋_GB2312"/>
          <w:sz w:val="32"/>
          <w:szCs w:val="32"/>
          <w:lang w:val="en-US"/>
        </w:rPr>
      </w:pPr>
      <w:r>
        <w:rPr>
          <w:rFonts w:hint="eastAsia" w:ascii="仿宋" w:hAnsi="仿宋" w:eastAsia="仿宋" w:cs="仿宋_GB2312"/>
          <w:sz w:val="32"/>
          <w:szCs w:val="32"/>
          <w:lang w:val="en-US"/>
        </w:rPr>
        <w:t>（四）通过“信用中国”网站（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（五）单位法定代表人为同一人或者存在控股、管理关系的不同企业，不得同时参加本项目比选。</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（六）本项目不接受联合体参选。</w:t>
      </w:r>
    </w:p>
    <w:p>
      <w:pPr>
        <w:spacing w:line="54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参选单位必须出具下列资质证明文件：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（一）营业执照（原件及复印件）。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（二）参选单位法定代表人身份证（复印件），授权委托人身份证（原件及复印件）。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（三）如参与比选的代表人不是法定代表人，代表人须持有《法定代表人授权书》原件（格式见附件）。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（四）报价函及承诺（格式见附件）。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（五）业绩证明文件（合同）（复印件）。</w:t>
      </w:r>
    </w:p>
    <w:p>
      <w:pPr>
        <w:spacing w:line="54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（一）适用范围</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本比选文件仅适用于宁东基地煤化工园区蒸汽管网电动工艺阀供货安装比选工作。</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_GB2312"/>
          <w:sz w:val="32"/>
          <w:szCs w:val="32"/>
          <w:lang w:val="en-US"/>
        </w:rPr>
        <w:t>评审委员会由宁夏宁东开发投资有限公司采购领导小组和采购监督领导小组成员组成。</w:t>
      </w:r>
    </w:p>
    <w:p>
      <w:pPr>
        <w:numPr>
          <w:ilvl w:val="0"/>
          <w:numId w:val="1"/>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递交比选文件截止时间和比选时间</w:t>
      </w:r>
    </w:p>
    <w:p>
      <w:pPr>
        <w:spacing w:line="56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lang w:val="en-US"/>
        </w:rPr>
        <w:t>2023</w:t>
      </w:r>
      <w:r>
        <w:rPr>
          <w:rFonts w:hint="eastAsia" w:ascii="仿宋" w:hAnsi="仿宋" w:eastAsia="仿宋" w:cs="仿宋_GB2312"/>
          <w:sz w:val="32"/>
          <w:szCs w:val="32"/>
        </w:rPr>
        <w:t>年</w:t>
      </w:r>
      <w:r>
        <w:rPr>
          <w:rFonts w:hint="eastAsia" w:ascii="仿宋" w:hAnsi="仿宋" w:eastAsia="仿宋" w:cs="仿宋_GB2312"/>
          <w:sz w:val="32"/>
          <w:szCs w:val="32"/>
          <w:lang w:val="en-US"/>
        </w:rPr>
        <w:t>8</w:t>
      </w:r>
      <w:r>
        <w:rPr>
          <w:rFonts w:hint="eastAsia" w:ascii="仿宋" w:hAnsi="仿宋" w:eastAsia="仿宋" w:cs="仿宋_GB2312"/>
          <w:sz w:val="32"/>
          <w:szCs w:val="32"/>
        </w:rPr>
        <w:t>月</w:t>
      </w:r>
      <w:r>
        <w:rPr>
          <w:rFonts w:hint="eastAsia" w:ascii="仿宋" w:hAnsi="仿宋" w:eastAsia="仿宋" w:cs="仿宋_GB2312"/>
          <w:sz w:val="32"/>
          <w:szCs w:val="32"/>
          <w:lang w:val="en-US"/>
        </w:rPr>
        <w:t>4</w:t>
      </w:r>
      <w:r>
        <w:rPr>
          <w:rFonts w:hint="eastAsia" w:ascii="仿宋" w:hAnsi="仿宋" w:eastAsia="仿宋" w:cs="仿宋_GB2312"/>
          <w:sz w:val="32"/>
          <w:szCs w:val="32"/>
        </w:rPr>
        <w:t>日</w:t>
      </w:r>
      <w:r>
        <w:rPr>
          <w:rFonts w:hint="eastAsia" w:ascii="仿宋" w:hAnsi="仿宋" w:eastAsia="仿宋" w:cs="仿宋_GB2312"/>
          <w:sz w:val="32"/>
          <w:szCs w:val="32"/>
          <w:lang w:val="en-US"/>
        </w:rPr>
        <w:t>上</w:t>
      </w:r>
      <w:r>
        <w:rPr>
          <w:rFonts w:hint="eastAsia" w:ascii="仿宋" w:hAnsi="仿宋" w:eastAsia="仿宋" w:cs="仿宋_GB2312"/>
          <w:sz w:val="32"/>
          <w:szCs w:val="32"/>
        </w:rPr>
        <w:t>午</w:t>
      </w:r>
      <w:r>
        <w:rPr>
          <w:rFonts w:hint="eastAsia" w:ascii="仿宋" w:hAnsi="仿宋" w:eastAsia="仿宋" w:cs="仿宋_GB2312"/>
          <w:sz w:val="32"/>
          <w:szCs w:val="32"/>
          <w:lang w:val="en-US"/>
        </w:rPr>
        <w:t>9:30</w:t>
      </w:r>
      <w:r>
        <w:rPr>
          <w:rFonts w:hint="eastAsia" w:ascii="仿宋" w:hAnsi="仿宋" w:eastAsia="仿宋" w:cs="仿宋_GB2312"/>
          <w:sz w:val="32"/>
          <w:szCs w:val="32"/>
        </w:rPr>
        <w:t>。</w:t>
      </w:r>
    </w:p>
    <w:p>
      <w:pPr>
        <w:numPr>
          <w:ilvl w:val="0"/>
          <w:numId w:val="1"/>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参与比选地点</w:t>
      </w:r>
    </w:p>
    <w:p>
      <w:pPr>
        <w:spacing w:line="5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p>
    <w:p>
      <w:pPr>
        <w:spacing w:line="54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联系人：姚先生   联系电话：</w:t>
      </w:r>
      <w:r>
        <w:rPr>
          <w:rFonts w:hint="eastAsia" w:ascii="仿宋_GB2312" w:hAnsi="仿宋_GB2312" w:eastAsia="仿宋_GB2312" w:cs="仿宋_GB2312"/>
          <w:sz w:val="32"/>
          <w:szCs w:val="32"/>
          <w:lang w:val="en-US"/>
        </w:rPr>
        <w:t>0951-5918380</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（五）有关要求</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1.参选文件必须按要求用中文编写，所有报价及参选文件中所出现的币种均为人民币，否则报价无效。</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（六）比选办法</w:t>
      </w:r>
    </w:p>
    <w:p>
      <w:pPr>
        <w:spacing w:line="560" w:lineRule="exact"/>
        <w:ind w:firstLine="640" w:firstLineChars="200"/>
        <w:contextualSpacing/>
        <w:rPr>
          <w:rFonts w:ascii="仿宋" w:hAnsi="仿宋" w:eastAsia="仿宋" w:cs="仿宋"/>
          <w:b/>
          <w:bCs/>
          <w:sz w:val="32"/>
          <w:szCs w:val="32"/>
        </w:rPr>
      </w:pPr>
      <w:r>
        <w:rPr>
          <w:rFonts w:hint="eastAsia" w:ascii="仿宋" w:hAnsi="仿宋" w:eastAsia="仿宋" w:cs="仿宋"/>
          <w:sz w:val="32"/>
          <w:szCs w:val="32"/>
          <w:lang w:val="en-US"/>
        </w:rPr>
        <w:t>综合评估法</w:t>
      </w:r>
      <w:r>
        <w:rPr>
          <w:rFonts w:hint="eastAsia" w:ascii="仿宋" w:hAnsi="仿宋" w:eastAsia="仿宋" w:cs="仿宋"/>
          <w:sz w:val="32"/>
          <w:szCs w:val="32"/>
        </w:rPr>
        <w:t>。</w:t>
      </w:r>
    </w:p>
    <w:p>
      <w:pPr>
        <w:numPr>
          <w:ilvl w:val="0"/>
          <w:numId w:val="2"/>
        </w:num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比选控制价</w:t>
      </w:r>
    </w:p>
    <w:p>
      <w:pPr>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比选控制价上限为92万元。</w:t>
      </w:r>
    </w:p>
    <w:p>
      <w:pPr>
        <w:numPr>
          <w:ilvl w:val="0"/>
          <w:numId w:val="2"/>
        </w:numPr>
        <w:spacing w:line="560" w:lineRule="exact"/>
        <w:ind w:firstLine="640" w:firstLineChars="200"/>
        <w:contextualSpacing/>
        <w:rPr>
          <w:rFonts w:ascii="楷体" w:hAnsi="楷体" w:eastAsia="楷体" w:cs="楷体"/>
          <w:sz w:val="32"/>
          <w:szCs w:val="32"/>
          <w:lang w:val="en-US"/>
        </w:rPr>
      </w:pPr>
      <w:r>
        <w:rPr>
          <w:rFonts w:hint="eastAsia" w:ascii="楷体" w:hAnsi="楷体" w:eastAsia="楷体" w:cs="楷体"/>
          <w:sz w:val="32"/>
          <w:szCs w:val="32"/>
        </w:rPr>
        <w:t>保修期限</w:t>
      </w:r>
    </w:p>
    <w:p>
      <w:pPr>
        <w:spacing w:line="540" w:lineRule="exact"/>
        <w:ind w:firstLine="640" w:firstLineChars="200"/>
        <w:jc w:val="both"/>
        <w:rPr>
          <w:lang w:val="en-US"/>
        </w:rPr>
      </w:pPr>
      <w:r>
        <w:rPr>
          <w:rFonts w:hint="eastAsia" w:ascii="仿宋" w:hAnsi="仿宋" w:eastAsia="仿宋" w:cs="仿宋_GB2312"/>
          <w:sz w:val="32"/>
          <w:szCs w:val="32"/>
          <w:lang w:val="en-US"/>
        </w:rPr>
        <w:t>质保期自采购人验收合格之日起2年。</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（九）报价有效期</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报价有效期：自参选文件递交之日起30个日历天。在特殊情况下参选单位于原报价有效期截止之前，可向比选人提出延长报价有效期的要求。本要求与答复均应采用书面形式（如信件、传真或电报等）。</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（十）参与比选文件规范</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rPr>
        <w:t>受委托人签字，并加盖</w:t>
      </w:r>
      <w:r>
        <w:rPr>
          <w:rFonts w:hint="eastAsia" w:ascii="仿宋" w:hAnsi="仿宋" w:eastAsia="仿宋" w:cs="仿宋"/>
          <w:sz w:val="32"/>
          <w:szCs w:val="32"/>
        </w:rPr>
        <w:t>参选单位公章、骑缝章。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rPr>
        <w:t>受委托人</w:t>
      </w:r>
      <w:r>
        <w:rPr>
          <w:rFonts w:hint="eastAsia" w:ascii="仿宋" w:hAnsi="仿宋" w:eastAsia="仿宋" w:cs="仿宋"/>
          <w:sz w:val="32"/>
          <w:szCs w:val="32"/>
        </w:rPr>
        <w:t>必须将</w:t>
      </w:r>
      <w:r>
        <w:rPr>
          <w:rFonts w:hint="eastAsia" w:ascii="仿宋" w:hAnsi="仿宋" w:eastAsia="仿宋" w:cs="仿宋"/>
          <w:sz w:val="32"/>
          <w:szCs w:val="32"/>
          <w:lang w:val="en-US"/>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rPr>
        <w:t>单位</w:t>
      </w:r>
      <w:r>
        <w:rPr>
          <w:rFonts w:hint="eastAsia" w:ascii="仿宋" w:hAnsi="仿宋" w:eastAsia="仿宋" w:cs="仿宋"/>
          <w:sz w:val="32"/>
          <w:szCs w:val="32"/>
        </w:rPr>
        <w:t>公章的《授权委托书》附在参选文件中。</w:t>
      </w:r>
    </w:p>
    <w:p>
      <w:pPr>
        <w:spacing w:line="560" w:lineRule="exact"/>
        <w:ind w:right="341" w:rightChars="155" w:firstLine="640" w:firstLineChars="200"/>
        <w:rPr>
          <w:rFonts w:ascii="仿宋" w:hAnsi="仿宋" w:eastAsia="仿宋" w:cs="仿宋"/>
        </w:rPr>
      </w:pPr>
      <w:r>
        <w:rPr>
          <w:rFonts w:hint="eastAsia" w:ascii="仿宋" w:hAnsi="仿宋" w:eastAsia="仿宋" w:cs="仿宋"/>
          <w:sz w:val="32"/>
          <w:szCs w:val="32"/>
        </w:rPr>
        <w:t>4.参选文件必须装订成册。</w:t>
      </w:r>
    </w:p>
    <w:p>
      <w:pPr>
        <w:spacing w:line="560" w:lineRule="exact"/>
        <w:ind w:firstLine="640" w:firstLineChars="200"/>
        <w:contextualSpacing/>
        <w:rPr>
          <w:rFonts w:ascii="楷体" w:hAnsi="楷体" w:eastAsia="楷体" w:cs="楷体"/>
          <w:sz w:val="32"/>
          <w:szCs w:val="32"/>
        </w:rPr>
      </w:pPr>
      <w:r>
        <w:rPr>
          <w:rFonts w:hint="eastAsia" w:ascii="楷体" w:hAnsi="楷体" w:eastAsia="楷体" w:cs="楷体"/>
          <w:sz w:val="32"/>
          <w:szCs w:val="32"/>
        </w:rPr>
        <w:t>（十一）参选文件的密封和递交</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rPr>
        <w:t>单位</w:t>
      </w:r>
      <w:r>
        <w:rPr>
          <w:rFonts w:hint="eastAsia" w:ascii="仿宋" w:hAnsi="仿宋" w:eastAsia="仿宋" w:cs="仿宋"/>
          <w:sz w:val="32"/>
          <w:szCs w:val="32"/>
        </w:rPr>
        <w:t>的名称、地址、</w:t>
      </w:r>
      <w:r>
        <w:rPr>
          <w:rFonts w:hint="eastAsia" w:ascii="仿宋" w:hAnsi="仿宋" w:eastAsia="仿宋" w:cs="仿宋"/>
          <w:sz w:val="32"/>
          <w:szCs w:val="32"/>
          <w:lang w:val="en-US"/>
        </w:rPr>
        <w:t>日期</w:t>
      </w:r>
      <w:r>
        <w:rPr>
          <w:rFonts w:hint="eastAsia" w:ascii="仿宋" w:hAnsi="仿宋" w:eastAsia="仿宋" w:cs="仿宋"/>
          <w:sz w:val="32"/>
          <w:szCs w:val="32"/>
        </w:rPr>
        <w:t>，并加盖单位公章和密封章。</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60" w:lineRule="exact"/>
        <w:ind w:right="341" w:rightChars="155" w:firstLine="640" w:firstLineChars="200"/>
        <w:rPr>
          <w:rFonts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60" w:lineRule="exact"/>
        <w:ind w:firstLine="640" w:firstLineChars="200"/>
        <w:contextualSpacing/>
        <w:rPr>
          <w:rFonts w:ascii="仿宋_GB2312" w:hAnsi="仿宋" w:eastAsia="仿宋_GB2312"/>
          <w:sz w:val="32"/>
          <w:szCs w:val="32"/>
        </w:rPr>
      </w:pPr>
      <w:r>
        <w:rPr>
          <w:rFonts w:hint="eastAsia" w:ascii="黑体" w:hAnsi="黑体" w:eastAsia="黑体"/>
          <w:sz w:val="32"/>
          <w:szCs w:val="32"/>
        </w:rPr>
        <w:t>五、比选程序</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（一）主持人宣布比选会议议程。</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（二）介绍比选项目基本情况并宣读参选单位名单。</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（三）宣读比选纪律和注意事项。</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（四）宣读评审委员会成员名单。</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（五）按照参选文件递交顺序，主持人向评审委员会进行参选单位的报价宣读。</w:t>
      </w:r>
    </w:p>
    <w:p>
      <w:pPr>
        <w:spacing w:line="560" w:lineRule="exact"/>
        <w:ind w:firstLine="640" w:firstLineChars="200"/>
        <w:contextualSpacing/>
        <w:rPr>
          <w:rFonts w:ascii="仿宋" w:hAnsi="仿宋" w:eastAsia="仿宋" w:cs="仿宋"/>
          <w:sz w:val="32"/>
          <w:szCs w:val="32"/>
        </w:rPr>
      </w:pPr>
      <w:r>
        <w:rPr>
          <w:rFonts w:hint="eastAsia" w:ascii="仿宋" w:hAnsi="仿宋" w:eastAsia="仿宋" w:cs="仿宋"/>
          <w:sz w:val="32"/>
          <w:szCs w:val="32"/>
        </w:rPr>
        <w:t>（六）评审委员会按照比选办法、比选文件评审。</w:t>
      </w:r>
    </w:p>
    <w:p>
      <w:pPr>
        <w:spacing w:line="560" w:lineRule="exact"/>
        <w:ind w:firstLine="640" w:firstLineChars="200"/>
        <w:contextualSpacing/>
      </w:pPr>
      <w:r>
        <w:rPr>
          <w:rFonts w:hint="eastAsia" w:ascii="仿宋" w:hAnsi="仿宋" w:eastAsia="仿宋" w:cs="仿宋"/>
          <w:sz w:val="32"/>
          <w:szCs w:val="32"/>
        </w:rPr>
        <w:t>（七）评审委员会现场推荐中选候选人。</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六、评</w:t>
      </w:r>
      <w:r>
        <w:rPr>
          <w:rFonts w:hint="eastAsia" w:ascii="黑体" w:hAnsi="黑体" w:eastAsia="黑体"/>
          <w:sz w:val="32"/>
          <w:szCs w:val="32"/>
          <w:lang w:val="en-US"/>
        </w:rPr>
        <w:t>审</w:t>
      </w:r>
      <w:r>
        <w:rPr>
          <w:rFonts w:hint="eastAsia" w:ascii="黑体" w:hAnsi="黑体" w:eastAsia="黑体"/>
          <w:sz w:val="32"/>
          <w:szCs w:val="32"/>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spacing w:line="560" w:lineRule="exact"/>
        <w:ind w:firstLine="640" w:firstLineChars="200"/>
        <w:rPr>
          <w:rFonts w:ascii="仿宋" w:hAnsi="仿宋" w:eastAsia="仿宋" w:cs="仿宋"/>
          <w:sz w:val="32"/>
          <w:szCs w:val="32"/>
          <w:lang w:val="en-US"/>
        </w:rPr>
      </w:pP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附件：1.综合评估法（评分细则）</w:t>
      </w:r>
    </w:p>
    <w:p>
      <w:pPr>
        <w:widowControl/>
        <w:autoSpaceDE/>
        <w:autoSpaceDN/>
        <w:adjustRightInd w:val="0"/>
        <w:snapToGrid w:val="0"/>
        <w:spacing w:line="560" w:lineRule="exact"/>
        <w:ind w:firstLine="640" w:firstLineChars="200"/>
        <w:contextualSpacing/>
        <w:rPr>
          <w:rFonts w:ascii="仿宋" w:hAnsi="仿宋" w:eastAsia="仿宋" w:cs="仿宋"/>
          <w:sz w:val="32"/>
          <w:szCs w:val="32"/>
          <w:lang w:val="en-US"/>
        </w:rPr>
      </w:pPr>
      <w:r>
        <w:rPr>
          <w:rFonts w:hint="eastAsia" w:ascii="仿宋" w:hAnsi="仿宋" w:eastAsia="仿宋" w:cs="仿宋"/>
          <w:sz w:val="32"/>
          <w:szCs w:val="32"/>
          <w:lang w:val="en-US"/>
        </w:rPr>
        <w:t xml:space="preserve">      2.参选文件格式</w:t>
      </w:r>
    </w:p>
    <w:p>
      <w:pPr>
        <w:pStyle w:val="13"/>
        <w:spacing w:line="560" w:lineRule="exact"/>
        <w:ind w:firstLine="320"/>
        <w:rPr>
          <w:rFonts w:ascii="仿宋" w:hAnsi="仿宋" w:eastAsia="仿宋" w:cs="仿宋"/>
          <w:sz w:val="32"/>
          <w:szCs w:val="32"/>
          <w:lang w:val="en-US"/>
        </w:rPr>
      </w:pPr>
    </w:p>
    <w:p>
      <w:pPr>
        <w:spacing w:line="560" w:lineRule="exact"/>
        <w:ind w:firstLine="640"/>
        <w:jc w:val="center"/>
        <w:rPr>
          <w:rFonts w:ascii="仿宋" w:hAnsi="仿宋" w:eastAsia="仿宋" w:cs="仿宋_GB2312"/>
          <w:sz w:val="32"/>
          <w:szCs w:val="32"/>
          <w:highlight w:val="yellow"/>
        </w:rP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pPr>
    </w:p>
    <w:p/>
    <w:p>
      <w:pPr>
        <w:pStyle w:val="2"/>
      </w:pPr>
    </w:p>
    <w:p>
      <w:pPr>
        <w:spacing w:line="560" w:lineRule="exact"/>
        <w:rPr>
          <w:rFonts w:ascii="仿宋" w:hAnsi="仿宋" w:eastAsia="仿宋" w:cs="仿宋_GB2312"/>
          <w:sz w:val="32"/>
          <w:szCs w:val="32"/>
        </w:rPr>
      </w:pPr>
      <w:r>
        <w:rPr>
          <w:rFonts w:hint="eastAsia" w:ascii="仿宋_GB2312" w:hAnsi="仿宋_GB2312" w:eastAsia="仿宋_GB2312" w:cs="仿宋_GB2312"/>
          <w:b/>
          <w:bCs/>
          <w:sz w:val="32"/>
          <w:szCs w:val="32"/>
        </w:rPr>
        <w:t>附件一：</w:t>
      </w:r>
    </w:p>
    <w:p>
      <w:pPr>
        <w:pStyle w:val="25"/>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综合评估法（评分细则）</w:t>
      </w:r>
    </w:p>
    <w:p>
      <w:pPr>
        <w:pStyle w:val="25"/>
        <w:spacing w:line="560" w:lineRule="exact"/>
        <w:ind w:firstLine="556" w:firstLineChars="174"/>
        <w:jc w:val="both"/>
        <w:rPr>
          <w:rFonts w:ascii="仿宋" w:hAnsi="仿宋" w:eastAsia="仿宋" w:cs="仿宋"/>
          <w:sz w:val="32"/>
          <w:szCs w:val="32"/>
        </w:rPr>
      </w:pPr>
      <w:r>
        <w:rPr>
          <w:rFonts w:hint="eastAsia" w:ascii="仿宋" w:hAnsi="仿宋" w:eastAsia="仿宋" w:cs="仿宋"/>
          <w:sz w:val="32"/>
          <w:szCs w:val="32"/>
        </w:rPr>
        <w:t>1.评委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。评委应坚持公正、公平、诚实守信、实事求是、独立评标的原则，对所有参选单位均采用相同程序和标准。</w:t>
      </w:r>
    </w:p>
    <w:p>
      <w:pPr>
        <w:pStyle w:val="25"/>
        <w:spacing w:line="560" w:lineRule="exact"/>
        <w:ind w:firstLine="640"/>
        <w:jc w:val="both"/>
        <w:rPr>
          <w:rFonts w:ascii="仿宋" w:hAnsi="仿宋" w:eastAsia="仿宋" w:cs="仿宋"/>
          <w:sz w:val="32"/>
          <w:szCs w:val="32"/>
        </w:rPr>
      </w:pPr>
      <w:r>
        <w:rPr>
          <w:rFonts w:hint="eastAsia" w:ascii="仿宋" w:hAnsi="仿宋" w:eastAsia="仿宋" w:cs="仿宋"/>
          <w:sz w:val="32"/>
          <w:szCs w:val="32"/>
        </w:rPr>
        <w:t>2.本项目评审采用综合评估法。评委对满足比选文件实质要求的参选文件进行综合评审，根据参选单位报价、同类业绩、服务承诺等进行综合评定，排列名次按照综合评分从高到低排列，确定得分最高的参选单位作为中选人。得分相同的，按参选报价由低到高顺序排列（报价最低为中选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确定中选人时，原则上排名第一的参选单位为中选人，如排名第一的参选单位出现下列情况时，可以按照排序依次确定其他候选人为中选人：</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）排名第一的中选单位放弃中标。</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）排名第一的中选单位不能履行合同。</w:t>
      </w:r>
    </w:p>
    <w:tbl>
      <w:tblPr>
        <w:tblStyle w:val="15"/>
        <w:tblW w:w="925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3"/>
        <w:gridCol w:w="1250"/>
        <w:gridCol w:w="1200"/>
        <w:gridCol w:w="5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 w:type="dxa"/>
            <w:noWrap/>
            <w:vAlign w:val="center"/>
          </w:tcPr>
          <w:p>
            <w:pPr>
              <w:jc w:val="center"/>
              <w:rPr>
                <w:rFonts w:ascii="仿宋" w:hAnsi="仿宋" w:eastAsia="仿宋" w:cs="仿宋"/>
                <w:b/>
                <w:sz w:val="32"/>
                <w:szCs w:val="32"/>
              </w:rPr>
            </w:pPr>
            <w:r>
              <w:rPr>
                <w:rFonts w:hint="eastAsia" w:ascii="仿宋" w:hAnsi="仿宋" w:eastAsia="仿宋" w:cs="仿宋"/>
                <w:b/>
                <w:sz w:val="32"/>
                <w:szCs w:val="32"/>
              </w:rPr>
              <w:t>序号</w:t>
            </w:r>
          </w:p>
        </w:tc>
        <w:tc>
          <w:tcPr>
            <w:tcW w:w="125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评分项</w:t>
            </w:r>
          </w:p>
        </w:tc>
        <w:tc>
          <w:tcPr>
            <w:tcW w:w="120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分值</w:t>
            </w:r>
          </w:p>
        </w:tc>
        <w:tc>
          <w:tcPr>
            <w:tcW w:w="5830" w:type="dxa"/>
            <w:noWrap/>
            <w:vAlign w:val="center"/>
          </w:tcPr>
          <w:p>
            <w:pPr>
              <w:jc w:val="center"/>
              <w:rPr>
                <w:rFonts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trPr>
        <w:tc>
          <w:tcPr>
            <w:tcW w:w="973" w:type="dxa"/>
            <w:noWrap/>
            <w:vAlign w:val="center"/>
          </w:tcPr>
          <w:p>
            <w:pPr>
              <w:jc w:val="center"/>
              <w:rPr>
                <w:rFonts w:ascii="仿宋" w:hAnsi="仿宋" w:eastAsia="仿宋" w:cs="仿宋"/>
                <w:b/>
                <w:sz w:val="24"/>
                <w:szCs w:val="24"/>
                <w:lang w:val="en-US"/>
              </w:rPr>
            </w:pPr>
          </w:p>
        </w:tc>
        <w:tc>
          <w:tcPr>
            <w:tcW w:w="1250" w:type="dxa"/>
            <w:noWrap/>
            <w:vAlign w:val="center"/>
          </w:tcPr>
          <w:p>
            <w:pPr>
              <w:spacing w:line="420" w:lineRule="auto"/>
              <w:rPr>
                <w:rFonts w:ascii="仿宋" w:hAnsi="仿宋" w:eastAsia="仿宋" w:cs="仿宋"/>
                <w:sz w:val="24"/>
                <w:szCs w:val="24"/>
              </w:rPr>
            </w:pPr>
            <w:r>
              <w:rPr>
                <w:rFonts w:hint="eastAsia" w:ascii="仿宋" w:hAnsi="仿宋" w:eastAsia="仿宋" w:cs="仿宋"/>
                <w:sz w:val="24"/>
                <w:szCs w:val="24"/>
              </w:rPr>
              <w:t>评审标准</w:t>
            </w:r>
          </w:p>
        </w:tc>
        <w:tc>
          <w:tcPr>
            <w:tcW w:w="1200" w:type="dxa"/>
            <w:noWrap/>
            <w:vAlign w:val="center"/>
          </w:tcPr>
          <w:p>
            <w:pPr>
              <w:spacing w:line="420" w:lineRule="auto"/>
              <w:jc w:val="center"/>
              <w:rPr>
                <w:rFonts w:ascii="仿宋" w:hAnsi="仿宋" w:eastAsia="仿宋" w:cs="仿宋"/>
                <w:sz w:val="24"/>
                <w:szCs w:val="24"/>
              </w:rPr>
            </w:pPr>
            <w:r>
              <w:rPr>
                <w:rFonts w:hint="eastAsia" w:ascii="仿宋" w:hAnsi="仿宋" w:eastAsia="仿宋" w:cs="仿宋"/>
                <w:sz w:val="24"/>
                <w:szCs w:val="24"/>
              </w:rPr>
              <w:t>分值构成（100分）</w:t>
            </w:r>
          </w:p>
        </w:tc>
        <w:tc>
          <w:tcPr>
            <w:tcW w:w="5830" w:type="dxa"/>
            <w:noWrap/>
            <w:vAlign w:val="center"/>
          </w:tcPr>
          <w:p>
            <w:pPr>
              <w:pStyle w:val="7"/>
              <w:spacing w:line="360" w:lineRule="atLeast"/>
              <w:rPr>
                <w:rFonts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rPr>
              <w:t>45</w:t>
            </w:r>
            <w:r>
              <w:rPr>
                <w:rFonts w:hint="eastAsia" w:ascii="仿宋" w:hAnsi="仿宋" w:eastAsia="仿宋" w:cs="仿宋"/>
                <w:sz w:val="24"/>
                <w:szCs w:val="24"/>
              </w:rPr>
              <w:t>%(</w:t>
            </w:r>
            <w:r>
              <w:rPr>
                <w:rFonts w:hint="eastAsia" w:ascii="仿宋" w:hAnsi="仿宋" w:eastAsia="仿宋" w:cs="仿宋"/>
                <w:sz w:val="24"/>
                <w:szCs w:val="24"/>
                <w:lang w:val="en-US"/>
              </w:rPr>
              <w:t>45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rPr>
              <w:t>15</w:t>
            </w:r>
            <w:r>
              <w:rPr>
                <w:rFonts w:hint="eastAsia" w:ascii="仿宋" w:hAnsi="仿宋" w:eastAsia="仿宋" w:cs="仿宋"/>
                <w:sz w:val="24"/>
                <w:szCs w:val="24"/>
              </w:rPr>
              <w:t>%（</w:t>
            </w:r>
            <w:r>
              <w:rPr>
                <w:rFonts w:hint="eastAsia" w:ascii="仿宋" w:hAnsi="仿宋" w:eastAsia="仿宋" w:cs="仿宋"/>
                <w:sz w:val="24"/>
                <w:szCs w:val="24"/>
                <w:lang w:val="en-US"/>
              </w:rPr>
              <w:t>15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bCs/>
                <w:sz w:val="24"/>
                <w:szCs w:val="24"/>
                <w:lang w:val="en-US"/>
              </w:rPr>
              <w:t>设计方案评审</w:t>
            </w:r>
            <w:r>
              <w:rPr>
                <w:rFonts w:hint="eastAsia" w:ascii="仿宋" w:hAnsi="仿宋" w:eastAsia="仿宋" w:cs="仿宋"/>
                <w:sz w:val="24"/>
                <w:szCs w:val="24"/>
              </w:rPr>
              <w:t>：权重</w:t>
            </w:r>
            <w:r>
              <w:rPr>
                <w:rFonts w:hint="eastAsia" w:ascii="仿宋" w:hAnsi="仿宋" w:eastAsia="仿宋" w:cs="仿宋"/>
                <w:sz w:val="24"/>
                <w:szCs w:val="24"/>
                <w:lang w:val="en-US"/>
              </w:rPr>
              <w:t>35</w:t>
            </w:r>
            <w:r>
              <w:rPr>
                <w:rFonts w:hint="eastAsia" w:ascii="仿宋" w:hAnsi="仿宋" w:eastAsia="仿宋" w:cs="仿宋"/>
                <w:sz w:val="24"/>
                <w:szCs w:val="24"/>
              </w:rPr>
              <w:t>%（</w:t>
            </w:r>
            <w:r>
              <w:rPr>
                <w:rFonts w:hint="eastAsia" w:ascii="仿宋" w:hAnsi="仿宋" w:eastAsia="仿宋" w:cs="仿宋"/>
                <w:sz w:val="24"/>
                <w:szCs w:val="24"/>
                <w:lang w:val="en-US"/>
              </w:rPr>
              <w:t>35</w:t>
            </w:r>
            <w:r>
              <w:rPr>
                <w:rFonts w:hint="eastAsia" w:ascii="仿宋" w:hAnsi="仿宋" w:eastAsia="仿宋" w:cs="仿宋"/>
                <w:sz w:val="24"/>
                <w:szCs w:val="24"/>
              </w:rPr>
              <w:t>分）</w:t>
            </w:r>
          </w:p>
          <w:p>
            <w:pPr>
              <w:pStyle w:val="7"/>
              <w:spacing w:line="360" w:lineRule="atLeast"/>
              <w:rPr>
                <w:rFonts w:ascii="仿宋" w:hAnsi="仿宋" w:eastAsia="仿宋" w:cs="仿宋"/>
                <w:sz w:val="24"/>
                <w:szCs w:val="24"/>
              </w:rPr>
            </w:pPr>
            <w:r>
              <w:rPr>
                <w:rFonts w:hint="eastAsia" w:ascii="仿宋" w:hAnsi="仿宋" w:eastAsia="仿宋" w:cs="仿宋"/>
                <w:bCs/>
                <w:sz w:val="24"/>
                <w:szCs w:val="24"/>
              </w:rPr>
              <w:t>服务承诺</w:t>
            </w:r>
            <w:r>
              <w:rPr>
                <w:rFonts w:hint="eastAsia" w:ascii="仿宋" w:hAnsi="仿宋" w:eastAsia="仿宋" w:cs="仿宋"/>
                <w:bCs/>
                <w:sz w:val="24"/>
                <w:szCs w:val="24"/>
                <w:lang w:val="en-US"/>
              </w:rPr>
              <w:t>评审</w:t>
            </w:r>
            <w:r>
              <w:rPr>
                <w:rFonts w:hint="eastAsia" w:ascii="仿宋" w:hAnsi="仿宋" w:eastAsia="仿宋" w:cs="仿宋"/>
                <w:sz w:val="24"/>
                <w:szCs w:val="24"/>
              </w:rPr>
              <w:t>：权重</w:t>
            </w:r>
            <w:r>
              <w:rPr>
                <w:rFonts w:hint="eastAsia" w:ascii="仿宋" w:hAnsi="仿宋" w:eastAsia="仿宋" w:cs="仿宋"/>
                <w:sz w:val="24"/>
                <w:szCs w:val="24"/>
                <w:lang w:val="en-US"/>
              </w:rPr>
              <w:t>5</w:t>
            </w:r>
            <w:r>
              <w:rPr>
                <w:rFonts w:hint="eastAsia" w:ascii="仿宋" w:hAnsi="仿宋" w:eastAsia="仿宋" w:cs="仿宋"/>
                <w:sz w:val="24"/>
                <w:szCs w:val="24"/>
              </w:rPr>
              <w:t>%（</w:t>
            </w:r>
            <w:r>
              <w:rPr>
                <w:rFonts w:hint="eastAsia" w:ascii="仿宋" w:hAnsi="仿宋" w:eastAsia="仿宋" w:cs="仿宋"/>
                <w:sz w:val="24"/>
                <w:szCs w:val="24"/>
                <w:lang w:val="en-US"/>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3" w:type="dxa"/>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报    价</w:t>
            </w:r>
          </w:p>
        </w:tc>
        <w:tc>
          <w:tcPr>
            <w:tcW w:w="1200" w:type="dxa"/>
            <w:noWrap/>
            <w:vAlign w:val="center"/>
          </w:tcPr>
          <w:p>
            <w:pPr>
              <w:jc w:val="center"/>
              <w:rPr>
                <w:rFonts w:ascii="仿宋" w:hAnsi="仿宋" w:eastAsia="仿宋" w:cs="仿宋"/>
                <w:sz w:val="24"/>
                <w:szCs w:val="24"/>
              </w:rPr>
            </w:pPr>
            <w:r>
              <w:rPr>
                <w:rFonts w:hint="eastAsia" w:ascii="仿宋" w:hAnsi="仿宋" w:eastAsia="仿宋" w:cs="仿宋"/>
                <w:sz w:val="24"/>
                <w:szCs w:val="24"/>
                <w:lang w:val="en-US"/>
              </w:rPr>
              <w:t>45</w:t>
            </w:r>
            <w:r>
              <w:rPr>
                <w:rFonts w:hint="eastAsia" w:ascii="仿宋" w:hAnsi="仿宋" w:eastAsia="仿宋" w:cs="仿宋"/>
                <w:sz w:val="24"/>
                <w:szCs w:val="24"/>
              </w:rPr>
              <w:t>分</w:t>
            </w:r>
          </w:p>
        </w:tc>
        <w:tc>
          <w:tcPr>
            <w:tcW w:w="5830" w:type="dxa"/>
            <w:noWrap/>
          </w:tcPr>
          <w:p>
            <w:pPr>
              <w:pStyle w:val="7"/>
              <w:spacing w:line="360" w:lineRule="atLeast"/>
              <w:rPr>
                <w:rFonts w:ascii="仿宋" w:hAnsi="仿宋" w:eastAsia="仿宋" w:cs="仿宋"/>
                <w:bCs/>
                <w:sz w:val="24"/>
                <w:szCs w:val="24"/>
              </w:rPr>
            </w:pPr>
            <w:r>
              <w:rPr>
                <w:rFonts w:hint="eastAsia" w:ascii="仿宋" w:hAnsi="仿宋" w:eastAsia="仿宋" w:cs="仿宋"/>
                <w:bCs/>
                <w:sz w:val="24"/>
                <w:szCs w:val="24"/>
                <w:lang w:val="en-US"/>
              </w:rPr>
              <w:t>1.有效报价范围：为参选报价高于或等于比选控制价，</w:t>
            </w:r>
            <w:r>
              <w:rPr>
                <w:rFonts w:hint="eastAsia" w:ascii="仿宋" w:hAnsi="仿宋" w:eastAsia="仿宋" w:cs="仿宋"/>
                <w:bCs/>
                <w:sz w:val="24"/>
                <w:szCs w:val="24"/>
              </w:rPr>
              <w:t>通过资格评审、形式评审、响应性评审合格，经评</w:t>
            </w:r>
            <w:r>
              <w:rPr>
                <w:rFonts w:hint="eastAsia" w:ascii="仿宋" w:hAnsi="仿宋" w:eastAsia="仿宋" w:cs="仿宋"/>
                <w:bCs/>
                <w:sz w:val="24"/>
                <w:szCs w:val="24"/>
                <w:lang w:val="en-US"/>
              </w:rPr>
              <w:t>审</w:t>
            </w:r>
            <w:r>
              <w:rPr>
                <w:rFonts w:hint="eastAsia" w:ascii="仿宋" w:hAnsi="仿宋" w:eastAsia="仿宋" w:cs="仿宋"/>
                <w:bCs/>
                <w:sz w:val="24"/>
                <w:szCs w:val="24"/>
              </w:rPr>
              <w:t>委员会审定不存在不平衡、不合理、不低于其企业成本的参选价，为有效参选报价。</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2.比选基准价：所有有效参选报价的算术平均值，为比选基准价。</w:t>
            </w:r>
          </w:p>
          <w:p>
            <w:pPr>
              <w:pStyle w:val="7"/>
              <w:spacing w:line="360" w:lineRule="atLeast"/>
              <w:rPr>
                <w:rFonts w:ascii="仿宋" w:hAnsi="仿宋" w:eastAsia="仿宋" w:cs="仿宋"/>
                <w:spacing w:val="-2"/>
                <w:sz w:val="24"/>
                <w:szCs w:val="24"/>
              </w:rPr>
            </w:pPr>
            <w:r>
              <w:rPr>
                <w:rFonts w:hint="eastAsia" w:ascii="仿宋" w:hAnsi="仿宋" w:eastAsia="仿宋" w:cs="仿宋"/>
                <w:bCs/>
                <w:sz w:val="24"/>
                <w:szCs w:val="24"/>
                <w:lang w:val="en-US"/>
              </w:rPr>
              <w:t>3.比选基准价是评定参选单位报价得分的依据，有效参选报价等于比选基准价的得满分；有效参选报价与比选基准价相比，每高1%的扣0.3分，每低1%的扣0.1分（扣完为止）。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trPr>
        <w:tc>
          <w:tcPr>
            <w:tcW w:w="973" w:type="dxa"/>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50" w:type="dxa"/>
            <w:noWrap/>
            <w:vAlign w:val="center"/>
          </w:tcPr>
          <w:p>
            <w:pPr>
              <w:rPr>
                <w:rFonts w:ascii="仿宋" w:hAnsi="仿宋" w:eastAsia="仿宋" w:cs="仿宋"/>
                <w:sz w:val="24"/>
                <w:szCs w:val="24"/>
              </w:rPr>
            </w:pPr>
            <w:r>
              <w:rPr>
                <w:rFonts w:hint="eastAsia" w:ascii="仿宋" w:hAnsi="仿宋" w:eastAsia="仿宋" w:cs="仿宋"/>
                <w:sz w:val="24"/>
                <w:szCs w:val="24"/>
              </w:rPr>
              <w:t>同类业绩</w:t>
            </w:r>
          </w:p>
        </w:tc>
        <w:tc>
          <w:tcPr>
            <w:tcW w:w="1200"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val="en-US"/>
              </w:rPr>
              <w:t>15</w:t>
            </w:r>
            <w:r>
              <w:rPr>
                <w:rFonts w:hint="eastAsia" w:ascii="仿宋" w:hAnsi="仿宋" w:eastAsia="仿宋" w:cs="仿宋"/>
                <w:sz w:val="24"/>
                <w:szCs w:val="24"/>
              </w:rPr>
              <w:t>分</w:t>
            </w:r>
          </w:p>
        </w:tc>
        <w:tc>
          <w:tcPr>
            <w:tcW w:w="5830" w:type="dxa"/>
            <w:tcBorders>
              <w:bottom w:val="single" w:color="auto" w:sz="4" w:space="0"/>
            </w:tcBorders>
            <w:noWrap/>
            <w:vAlign w:val="center"/>
          </w:tcPr>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每提供一个2020年1月1日以后的50万以上的类似项目业绩得5分，最高得15分。</w:t>
            </w:r>
          </w:p>
          <w:p>
            <w:pPr>
              <w:pStyle w:val="7"/>
              <w:spacing w:line="360" w:lineRule="atLeast"/>
              <w:rPr>
                <w:rFonts w:ascii="仿宋" w:hAnsi="仿宋" w:eastAsia="仿宋" w:cs="仿宋"/>
                <w:spacing w:val="-10"/>
                <w:sz w:val="24"/>
                <w:szCs w:val="24"/>
              </w:rPr>
            </w:pPr>
            <w:r>
              <w:rPr>
                <w:rFonts w:hint="eastAsia" w:ascii="仿宋" w:hAnsi="仿宋" w:eastAsia="仿宋" w:cs="仿宋"/>
                <w:bCs/>
                <w:sz w:val="24"/>
                <w:szCs w:val="24"/>
              </w:rPr>
              <w:t>注：（</w:t>
            </w:r>
            <w:r>
              <w:rPr>
                <w:rFonts w:hint="eastAsia" w:ascii="仿宋" w:hAnsi="仿宋" w:eastAsia="仿宋" w:cs="仿宋"/>
                <w:bCs/>
                <w:sz w:val="24"/>
                <w:szCs w:val="24"/>
                <w:lang w:val="en-US"/>
              </w:rPr>
              <w:t>1</w:t>
            </w:r>
            <w:r>
              <w:rPr>
                <w:rFonts w:hint="eastAsia" w:ascii="仿宋" w:hAnsi="仿宋" w:eastAsia="仿宋" w:cs="仿宋"/>
                <w:bCs/>
                <w:sz w:val="24"/>
                <w:szCs w:val="24"/>
              </w:rPr>
              <w:t>）</w:t>
            </w:r>
            <w:r>
              <w:rPr>
                <w:rFonts w:hint="eastAsia" w:ascii="仿宋" w:hAnsi="仿宋" w:eastAsia="仿宋" w:cs="仿宋"/>
                <w:bCs/>
                <w:sz w:val="24"/>
                <w:szCs w:val="24"/>
                <w:lang w:val="en-US"/>
              </w:rPr>
              <w:t>业绩证明材料需提供合同原件。</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973"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125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方案评审</w:t>
            </w:r>
          </w:p>
        </w:tc>
        <w:tc>
          <w:tcPr>
            <w:tcW w:w="120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35分</w:t>
            </w:r>
          </w:p>
        </w:tc>
        <w:tc>
          <w:tcPr>
            <w:tcW w:w="5830" w:type="dxa"/>
            <w:noWrap/>
          </w:tcPr>
          <w:p>
            <w:pPr>
              <w:pStyle w:val="7"/>
              <w:numPr>
                <w:ilvl w:val="0"/>
                <w:numId w:val="3"/>
              </w:numPr>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设备安装、调试（15分）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设备安装调试方案、调试进度及技术保障措施；制定的方案、组织等内容全面、详细，目标明确、任务清晰、措施有力，内容完整，满足本次项目服务要求及内容，充分考虑用户需求，方案针对性和可行性高的得11-15分；方案内容有偏差，内容基本能满足本次项目服务要求及内容，理解与分析不到位但有一定操作性的得6-10分；方案内容有缺失，没有对项目服务要求与内容做出理解与分析，操作性差的得1-5分；未提供不得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2、培训方案（10分）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针对设备操作、设备常规维护等方面，提出培训方案；</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 xml:space="preserve">培训方案科学合理、内容详实完整，结合本项目实际情况做出具体描述，培训方式得当，培训次数明确，制定了详细的培训计划得15分；培训方案内容全面，培训方式得当，制定了培训计划但内容不够具体，未能明确具体的培训次数的得10分；培训方案内容笼统，培训方式过于简单，无具体的培训计划和培训次数，针对性不强得5分；未提供不得分。 </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3、质量管理方案与保证措施（10分）</w:t>
            </w:r>
          </w:p>
          <w:p>
            <w:pPr>
              <w:pStyle w:val="7"/>
              <w:spacing w:line="360" w:lineRule="atLeast"/>
              <w:rPr>
                <w:rFonts w:ascii="仿宋" w:hAnsi="仿宋" w:eastAsia="仿宋" w:cs="仿宋"/>
                <w:bCs/>
                <w:sz w:val="24"/>
                <w:szCs w:val="24"/>
                <w:highlight w:val="yellow"/>
                <w:lang w:val="en-US"/>
              </w:rPr>
            </w:pPr>
            <w:r>
              <w:rPr>
                <w:rFonts w:hint="eastAsia" w:ascii="仿宋" w:hAnsi="仿宋" w:eastAsia="仿宋" w:cs="仿宋"/>
                <w:bCs/>
                <w:sz w:val="24"/>
                <w:szCs w:val="24"/>
                <w:lang w:val="en-US"/>
              </w:rPr>
              <w:t>方案与保证措施内容完整、科学合理，有针对本项目的具体描述和方案，措施得当，非常细致、全面，质量管理体系完善，制定了有效的质量管理制度，完全满足采购需求的得8-10分；方案与保证措施内容完整，但是缺乏针对本项目采购需求的具体描述，根据采购需求提供了质量管理体系和质量管理制度的得4-7分；方案与保证措施内容不完整，缺乏针对性，制定的质量管理制度不完善、不全面、不细致，缺少质量管理体系的得0-3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trPr>
        <w:tc>
          <w:tcPr>
            <w:tcW w:w="973"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4</w:t>
            </w:r>
          </w:p>
        </w:tc>
        <w:tc>
          <w:tcPr>
            <w:tcW w:w="125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服务承诺</w:t>
            </w:r>
          </w:p>
        </w:tc>
        <w:tc>
          <w:tcPr>
            <w:tcW w:w="1200" w:type="dxa"/>
            <w:noWrap/>
            <w:vAlign w:val="center"/>
          </w:tcPr>
          <w:p>
            <w:pPr>
              <w:jc w:val="center"/>
              <w:rPr>
                <w:rFonts w:ascii="仿宋" w:hAnsi="仿宋" w:eastAsia="仿宋" w:cs="仿宋"/>
                <w:sz w:val="24"/>
                <w:szCs w:val="24"/>
                <w:lang w:val="en-US"/>
              </w:rPr>
            </w:pPr>
            <w:r>
              <w:rPr>
                <w:rFonts w:hint="eastAsia" w:ascii="仿宋" w:hAnsi="仿宋" w:eastAsia="仿宋" w:cs="仿宋"/>
                <w:sz w:val="24"/>
                <w:szCs w:val="24"/>
                <w:lang w:val="en-US"/>
              </w:rPr>
              <w:t>5分</w:t>
            </w:r>
          </w:p>
        </w:tc>
        <w:tc>
          <w:tcPr>
            <w:tcW w:w="5830" w:type="dxa"/>
            <w:tcBorders>
              <w:bottom w:val="single" w:color="auto" w:sz="4" w:space="0"/>
            </w:tcBorders>
            <w:noWrap/>
          </w:tcPr>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根据针对本项目提供的售后服务方案（包括但不限于售后服务承诺、方案、响应时限及保障措施等）等方面进行评比：</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1、售后服务内容结构及内容全面，有具体的售后承诺措施以及升级维护等方面内容，且安排合理、可行，能很好匹配和满足项目比选及后期质保要求得5分。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2、售后服务结构及内容基完整，有基本的售后承诺保证以及升级维护等方面内容，方案整体基本可行，能基本满足本项目售后基本要求得3-4分。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3、售后服务承诺、保证措施或售后服务承诺结构和内容不完整，描述比较粗略、保证措施不具体或者不合理；服务承诺不明确、无法或者难以依照方案落地执行得1-2分。</w:t>
            </w:r>
          </w:p>
          <w:p>
            <w:pPr>
              <w:pStyle w:val="7"/>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rPr>
              <w:t>4、未提供不得分。</w:t>
            </w:r>
          </w:p>
        </w:tc>
      </w:tr>
    </w:tbl>
    <w:p>
      <w:pPr>
        <w:spacing w:line="520" w:lineRule="exact"/>
        <w:rPr>
          <w:rFonts w:cs="Times New Roman"/>
        </w:rPr>
      </w:pPr>
    </w:p>
    <w:p/>
    <w:p>
      <w:pPr>
        <w:pStyle w:val="4"/>
      </w:pPr>
    </w:p>
    <w:p/>
    <w:p>
      <w:pPr>
        <w:pStyle w:val="4"/>
      </w:pPr>
    </w:p>
    <w:p/>
    <w:p>
      <w:pPr>
        <w:pStyle w:val="4"/>
      </w:pPr>
    </w:p>
    <w:p/>
    <w:p>
      <w:pPr>
        <w:spacing w:line="520" w:lineRule="exact"/>
        <w:jc w:val="both"/>
        <w:rPr>
          <w:rFonts w:ascii="仿宋_GB2312" w:hAnsi="仿宋_GB2312" w:eastAsia="仿宋_GB2312" w:cs="仿宋_GB2312"/>
          <w:b/>
          <w:bCs/>
          <w:sz w:val="32"/>
          <w:szCs w:val="32"/>
        </w:rPr>
      </w:pPr>
    </w:p>
    <w:p>
      <w:pPr>
        <w:spacing w:line="520" w:lineRule="exact"/>
        <w:jc w:val="both"/>
        <w:rPr>
          <w:rFonts w:ascii="仿宋_GB2312" w:hAnsi="仿宋_GB2312" w:eastAsia="仿宋_GB2312" w:cs="仿宋_GB2312"/>
          <w:b/>
          <w:bCs/>
          <w:sz w:val="32"/>
          <w:szCs w:val="32"/>
        </w:rPr>
      </w:pPr>
    </w:p>
    <w:p>
      <w:pPr>
        <w:pStyle w:val="2"/>
        <w:rPr>
          <w:rFonts w:ascii="仿宋_GB2312" w:hAnsi="仿宋_GB2312" w:eastAsia="仿宋_GB2312" w:cs="仿宋_GB2312"/>
        </w:rPr>
      </w:pPr>
    </w:p>
    <w:p>
      <w:pPr>
        <w:spacing w:line="520"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附件二：</w:t>
      </w:r>
    </w:p>
    <w:p/>
    <w:p>
      <w:pPr>
        <w:jc w:val="center"/>
        <w:rPr>
          <w:rFonts w:ascii="方正小标宋简体" w:hAnsi="方正小标宋简体" w:eastAsia="方正小标宋简体" w:cs="方正小标宋简体"/>
          <w:color w:val="000000"/>
          <w:sz w:val="44"/>
          <w:szCs w:val="44"/>
          <w:lang w:val="en-U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rPr>
        <w:t>参选</w:t>
      </w:r>
      <w:r>
        <w:rPr>
          <w:rFonts w:hint="eastAsia" w:ascii="方正小标宋简体" w:hAnsi="方正小标宋简体" w:eastAsia="方正小标宋简体" w:cs="方正小标宋简体"/>
          <w:color w:val="000000"/>
          <w:sz w:val="44"/>
          <w:szCs w:val="44"/>
        </w:rPr>
        <w:t>文件格式</w:t>
      </w:r>
    </w:p>
    <w:p>
      <w:pPr>
        <w:jc w:val="center"/>
        <w:rPr>
          <w:color w:val="000000"/>
          <w:sz w:val="31"/>
          <w:szCs w:val="31"/>
        </w:rPr>
      </w:pPr>
    </w:p>
    <w:p>
      <w:pPr>
        <w:jc w:val="center"/>
        <w:rPr>
          <w:color w:val="000000"/>
          <w:sz w:val="31"/>
          <w:szCs w:val="31"/>
        </w:rPr>
      </w:pPr>
      <w:r>
        <w:rPr>
          <w:rFonts w:hint="eastAsia"/>
          <w:color w:val="000000"/>
          <w:sz w:val="31"/>
          <w:szCs w:val="31"/>
        </w:rPr>
        <w:t>（封 面）</w:t>
      </w:r>
    </w:p>
    <w:p/>
    <w:p/>
    <w:p/>
    <w:p>
      <w:pPr>
        <w:jc w:val="center"/>
      </w:pPr>
      <w:r>
        <w:rPr>
          <w:rFonts w:hint="eastAsia"/>
          <w:color w:val="000000"/>
          <w:sz w:val="84"/>
          <w:szCs w:val="84"/>
          <w:lang w:val="en-US"/>
        </w:rPr>
        <w:t>参</w:t>
      </w:r>
      <w:r>
        <w:rPr>
          <w:rFonts w:hint="eastAsia"/>
          <w:color w:val="000000"/>
          <w:sz w:val="84"/>
          <w:szCs w:val="84"/>
        </w:rPr>
        <w:t xml:space="preserve"> 选 文 件</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ind w:left="2200" w:leftChars="1000"/>
      </w:pPr>
      <w:r>
        <w:rPr>
          <w:rFonts w:hint="eastAsia"/>
          <w:color w:val="000000"/>
          <w:sz w:val="31"/>
          <w:szCs w:val="31"/>
        </w:rPr>
        <w:t>项目名称:</w:t>
      </w: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jc w:val="center"/>
        <w:rPr>
          <w:color w:val="000000"/>
          <w:sz w:val="31"/>
          <w:szCs w:val="31"/>
        </w:rPr>
      </w:pPr>
    </w:p>
    <w:p>
      <w:pPr>
        <w:spacing w:line="360" w:lineRule="auto"/>
        <w:jc w:val="center"/>
        <w:rPr>
          <w:sz w:val="28"/>
          <w:szCs w:val="28"/>
        </w:rPr>
      </w:pPr>
      <w:r>
        <w:rPr>
          <w:rFonts w:hint="eastAsia"/>
          <w:sz w:val="28"/>
          <w:szCs w:val="28"/>
          <w:lang w:val="en-US"/>
        </w:rPr>
        <w:t>参选</w:t>
      </w:r>
      <w:r>
        <w:rPr>
          <w:rFonts w:hint="eastAsia"/>
          <w:sz w:val="28"/>
          <w:szCs w:val="28"/>
        </w:rPr>
        <w:t>单位：（盖单位章）</w:t>
      </w:r>
    </w:p>
    <w:p>
      <w:pPr>
        <w:spacing w:line="360" w:lineRule="auto"/>
        <w:jc w:val="center"/>
        <w:rPr>
          <w:sz w:val="28"/>
          <w:szCs w:val="28"/>
        </w:rPr>
      </w:pPr>
      <w:r>
        <w:rPr>
          <w:rFonts w:hint="eastAsia"/>
          <w:sz w:val="28"/>
          <w:szCs w:val="28"/>
        </w:rPr>
        <w:t>法定代表人或其委托代理人：（签字）</w:t>
      </w:r>
    </w:p>
    <w:p>
      <w:pPr>
        <w:jc w:val="center"/>
        <w:rPr>
          <w:sz w:val="28"/>
          <w:szCs w:val="28"/>
        </w:rPr>
      </w:pPr>
    </w:p>
    <w:p>
      <w:pPr>
        <w:jc w:val="center"/>
        <w:rPr>
          <w:sz w:val="28"/>
          <w:szCs w:val="28"/>
        </w:rPr>
      </w:pPr>
    </w:p>
    <w:p>
      <w:pPr>
        <w:jc w:val="center"/>
        <w:rPr>
          <w:color w:val="000000"/>
          <w:sz w:val="31"/>
          <w:szCs w:val="31"/>
        </w:rPr>
      </w:pPr>
      <w:r>
        <w:rPr>
          <w:rFonts w:hint="eastAsia"/>
          <w:sz w:val="28"/>
          <w:szCs w:val="28"/>
        </w:rPr>
        <w:t>年  月  日</w:t>
      </w:r>
      <w:r>
        <w:rPr>
          <w:rFonts w:hint="eastAsia"/>
          <w:color w:val="000000"/>
          <w:sz w:val="31"/>
          <w:szCs w:val="31"/>
        </w:rPr>
        <w:br w:type="page"/>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参选</w:t>
      </w:r>
      <w:r>
        <w:rPr>
          <w:rFonts w:hint="eastAsia" w:ascii="仿宋_GB2312" w:hAnsi="仿宋_GB2312" w:eastAsia="仿宋_GB2312" w:cs="仿宋_GB2312"/>
          <w:sz w:val="32"/>
          <w:szCs w:val="32"/>
        </w:rPr>
        <w:t>文件中标注各项页码）</w:t>
      </w:r>
    </w:p>
    <w:p>
      <w:pPr>
        <w:spacing w:line="560" w:lineRule="exact"/>
        <w:ind w:firstLine="640" w:firstLineChars="200"/>
        <w:rPr>
          <w:rFonts w:ascii="仿宋_GB2312" w:hAnsi="仿宋_GB2312" w:eastAsia="仿宋_GB2312" w:cs="仿宋_GB2312"/>
          <w:sz w:val="32"/>
          <w:szCs w:val="32"/>
        </w:rPr>
      </w:pPr>
      <w:bookmarkStart w:id="1" w:name="_Toc17110"/>
      <w:bookmarkStart w:id="2" w:name="_Toc14841"/>
      <w:bookmarkStart w:id="3" w:name="_Toc7486"/>
      <w:bookmarkStart w:id="4" w:name="_Toc14888"/>
      <w:r>
        <w:rPr>
          <w:rFonts w:hint="eastAsia" w:ascii="仿宋_GB2312" w:hAnsi="仿宋_GB2312" w:eastAsia="仿宋_GB2312" w:cs="仿宋_GB2312"/>
          <w:sz w:val="32"/>
          <w:szCs w:val="32"/>
        </w:rPr>
        <w:t>一、报价函</w:t>
      </w:r>
      <w:bookmarkEnd w:id="1"/>
      <w:bookmarkEnd w:id="2"/>
      <w:bookmarkEnd w:id="3"/>
      <w:bookmarkEnd w:id="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二、分项报价单</w:t>
      </w:r>
    </w:p>
    <w:p>
      <w:pPr>
        <w:spacing w:line="560" w:lineRule="exact"/>
        <w:ind w:firstLine="640" w:firstLineChars="200"/>
        <w:rPr>
          <w:rFonts w:ascii="仿宋_GB2312" w:hAnsi="仿宋_GB2312" w:eastAsia="仿宋_GB2312" w:cs="仿宋_GB2312"/>
          <w:sz w:val="32"/>
          <w:szCs w:val="32"/>
        </w:rPr>
      </w:pPr>
      <w:bookmarkStart w:id="5" w:name="_Toc14165"/>
      <w:bookmarkStart w:id="6" w:name="_Toc19741"/>
      <w:bookmarkStart w:id="7" w:name="_Toc27267"/>
      <w:bookmarkStart w:id="8" w:name="_Toc25034"/>
      <w:r>
        <w:rPr>
          <w:rFonts w:hint="eastAsia" w:ascii="仿宋_GB2312" w:hAnsi="仿宋_GB2312" w:eastAsia="仿宋_GB2312" w:cs="仿宋_GB2312"/>
          <w:sz w:val="32"/>
          <w:szCs w:val="32"/>
        </w:rPr>
        <w:t>三、授权委托书</w:t>
      </w:r>
      <w:bookmarkEnd w:id="5"/>
    </w:p>
    <w:p>
      <w:pPr>
        <w:spacing w:line="560" w:lineRule="exact"/>
        <w:ind w:firstLine="640" w:firstLineChars="200"/>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四、</w:t>
      </w:r>
      <w:bookmarkEnd w:id="6"/>
      <w:bookmarkEnd w:id="7"/>
      <w:bookmarkEnd w:id="8"/>
      <w:bookmarkEnd w:id="9"/>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五、参选单位基本情况表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六、近三年类似项目情况表</w:t>
      </w:r>
    </w:p>
    <w:bookmarkEnd w:id="1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七、供货方案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八、服务承诺</w:t>
      </w:r>
    </w:p>
    <w:p>
      <w:pPr>
        <w:pStyle w:val="4"/>
      </w:pPr>
    </w:p>
    <w:p>
      <w:pP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br w:type="page"/>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一、报价函</w:t>
      </w:r>
    </w:p>
    <w:p>
      <w:pPr>
        <w:spacing w:line="560" w:lineRule="exact"/>
        <w:rPr>
          <w:rFonts w:ascii="仿宋" w:hAnsi="仿宋" w:eastAsia="仿宋" w:cs="仿宋_GB2312"/>
          <w:sz w:val="32"/>
          <w:szCs w:val="32"/>
        </w:rPr>
      </w:pPr>
      <w:r>
        <w:rPr>
          <w:rFonts w:hint="eastAsia" w:ascii="仿宋" w:hAnsi="仿宋" w:eastAsia="仿宋" w:cs="仿宋_GB2312"/>
          <w:sz w:val="32"/>
          <w:szCs w:val="32"/>
        </w:rPr>
        <w:t>宁夏宁东开发投资有限公司：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一、我方全面研究了你司发布的比选文件，决定以</w:t>
      </w:r>
      <w:r>
        <w:rPr>
          <w:rFonts w:hint="eastAsia" w:ascii="仿宋" w:hAnsi="仿宋" w:eastAsia="仿宋" w:cs="仿宋_GB2312"/>
          <w:sz w:val="32"/>
          <w:szCs w:val="32"/>
          <w:u w:val="single"/>
        </w:rPr>
        <w:t>人民币XX元（</w:t>
      </w:r>
      <w:r>
        <w:rPr>
          <w:rFonts w:hint="eastAsia" w:ascii="仿宋" w:hAnsi="仿宋" w:eastAsia="仿宋" w:cs="仿宋_GB2312"/>
          <w:sz w:val="32"/>
          <w:szCs w:val="32"/>
          <w:u w:val="single"/>
          <w:lang w:val="en-US"/>
        </w:rPr>
        <w:t xml:space="preserve">大写：     </w:t>
      </w:r>
      <w:r>
        <w:rPr>
          <w:rFonts w:hint="eastAsia" w:ascii="仿宋" w:hAnsi="仿宋" w:eastAsia="仿宋" w:cs="仿宋_GB2312"/>
          <w:sz w:val="32"/>
          <w:szCs w:val="32"/>
          <w:u w:val="single"/>
        </w:rPr>
        <w:t>）</w:t>
      </w:r>
      <w:r>
        <w:rPr>
          <w:rFonts w:hint="eastAsia" w:ascii="仿宋" w:hAnsi="仿宋" w:eastAsia="仿宋" w:cs="仿宋_GB2312"/>
          <w:sz w:val="32"/>
          <w:szCs w:val="32"/>
        </w:rPr>
        <w:t>参加你司组织的</w:t>
      </w:r>
      <w:r>
        <w:rPr>
          <w:rFonts w:hint="eastAsia" w:ascii="仿宋" w:hAnsi="仿宋" w:eastAsia="仿宋" w:cs="仿宋_GB2312"/>
          <w:sz w:val="32"/>
          <w:szCs w:val="32"/>
          <w:lang w:val="en-US"/>
        </w:rPr>
        <w:t>宁东基地煤化工园区蒸汽管网电动工艺阀供货安装比选</w:t>
      </w:r>
      <w:r>
        <w:rPr>
          <w:rFonts w:hint="eastAsia" w:ascii="仿宋" w:hAnsi="仿宋" w:eastAsia="仿宋" w:cs="仿宋_GB2312"/>
          <w:sz w:val="32"/>
          <w:szCs w:val="32"/>
        </w:rPr>
        <w:t>。我方授权（姓名、职务）代表我方（参选单位的名称）全权处理本项目比选相关事宜。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二、如我方中选，我方将严格履行协议书、合同及比选文件规定的责任和义务。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三、如我方中选，保证按照建设单位要求时间及时完成</w:t>
      </w:r>
      <w:r>
        <w:rPr>
          <w:rFonts w:hint="eastAsia" w:ascii="仿宋" w:hAnsi="仿宋" w:eastAsia="仿宋" w:cs="仿宋_GB2312"/>
          <w:sz w:val="32"/>
          <w:szCs w:val="32"/>
          <w:lang w:val="en-US"/>
        </w:rPr>
        <w:t>宁东基地煤化工园区蒸汽管网电动工艺阀供货安装</w:t>
      </w:r>
      <w:r>
        <w:rPr>
          <w:rFonts w:hint="eastAsia" w:ascii="仿宋" w:hAnsi="仿宋" w:eastAsia="仿宋" w:cs="仿宋_GB2312"/>
          <w:sz w:val="32"/>
          <w:szCs w:val="32"/>
        </w:rPr>
        <w:t>相关工作。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四、我方为本项目提交的</w:t>
      </w:r>
      <w:r>
        <w:rPr>
          <w:rFonts w:hint="eastAsia" w:ascii="仿宋" w:hAnsi="仿宋" w:eastAsia="仿宋" w:cs="仿宋_GB2312"/>
          <w:sz w:val="32"/>
          <w:szCs w:val="32"/>
          <w:lang w:val="en-US"/>
        </w:rPr>
        <w:t>参选</w:t>
      </w:r>
      <w:r>
        <w:rPr>
          <w:rFonts w:hint="eastAsia" w:ascii="仿宋" w:hAnsi="仿宋" w:eastAsia="仿宋" w:cs="仿宋_GB2312"/>
          <w:sz w:val="32"/>
          <w:szCs w:val="32"/>
        </w:rPr>
        <w:t>文件为一式贰份，其中正本壹份,副本壹份。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_GB2312"/>
          <w:sz w:val="32"/>
          <w:szCs w:val="32"/>
          <w:lang w:val="en-US"/>
        </w:rPr>
        <w:t>参</w:t>
      </w:r>
      <w:r>
        <w:rPr>
          <w:rFonts w:hint="eastAsia" w:ascii="仿宋" w:hAnsi="仿宋" w:eastAsia="仿宋" w:cs="仿宋_GB2312"/>
          <w:sz w:val="32"/>
          <w:szCs w:val="32"/>
        </w:rPr>
        <w:t>选资格。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参选单位名称（盖章）：</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参选单位法定代表人或授权代理人（签字）：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通讯地址：                联系电话：</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参选日期：</w:t>
      </w:r>
    </w:p>
    <w:p>
      <w:pPr>
        <w:numPr>
          <w:ilvl w:val="0"/>
          <w:numId w:val="4"/>
        </w:numPr>
        <w:spacing w:line="560" w:lineRule="exact"/>
        <w:ind w:firstLine="640" w:firstLineChars="200"/>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lang w:bidi="zh-CN"/>
        </w:rPr>
        <w:br w:type="page"/>
      </w:r>
      <w:r>
        <w:rPr>
          <w:rFonts w:hint="eastAsia" w:ascii="方正小标宋简体" w:hAnsi="方正小标宋简体" w:eastAsia="方正小标宋简体" w:cs="方正小标宋简体"/>
          <w:bCs/>
          <w:sz w:val="44"/>
          <w:szCs w:val="44"/>
        </w:rPr>
        <w:t>分项报价单</w:t>
      </w:r>
    </w:p>
    <w:tbl>
      <w:tblPr>
        <w:tblStyle w:val="30"/>
        <w:tblW w:w="55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979"/>
        <w:gridCol w:w="2883"/>
        <w:gridCol w:w="1035"/>
        <w:gridCol w:w="1035"/>
        <w:gridCol w:w="1050"/>
        <w:gridCol w:w="1215"/>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23"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序号</w:t>
            </w:r>
          </w:p>
        </w:tc>
        <w:tc>
          <w:tcPr>
            <w:tcW w:w="979"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名称</w:t>
            </w:r>
          </w:p>
        </w:tc>
        <w:tc>
          <w:tcPr>
            <w:tcW w:w="2883"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规格及参数</w:t>
            </w:r>
          </w:p>
        </w:tc>
        <w:tc>
          <w:tcPr>
            <w:tcW w:w="1035"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管径</w:t>
            </w:r>
          </w:p>
        </w:tc>
        <w:tc>
          <w:tcPr>
            <w:tcW w:w="1035" w:type="dxa"/>
            <w:vAlign w:val="center"/>
          </w:tcPr>
          <w:p>
            <w:pPr>
              <w:jc w:val="center"/>
              <w:rPr>
                <w:rFonts w:ascii="仿宋_GB2312" w:hAnsi="仿宋_GB2312" w:eastAsia="仿宋_GB2312"/>
                <w:b/>
                <w:bCs/>
                <w:sz w:val="32"/>
                <w:szCs w:val="32"/>
                <w:lang w:val="en-US"/>
              </w:rPr>
            </w:pPr>
            <w:r>
              <w:rPr>
                <w:rFonts w:hint="eastAsia" w:ascii="仿宋_GB2312" w:hAnsi="仿宋_GB2312" w:eastAsia="仿宋_GB2312"/>
                <w:b/>
                <w:bCs/>
                <w:sz w:val="32"/>
                <w:szCs w:val="32"/>
                <w:lang w:val="en-US"/>
              </w:rPr>
              <w:t>数量</w:t>
            </w:r>
          </w:p>
        </w:tc>
        <w:tc>
          <w:tcPr>
            <w:tcW w:w="1050" w:type="dxa"/>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单价（元）</w:t>
            </w:r>
          </w:p>
        </w:tc>
        <w:tc>
          <w:tcPr>
            <w:tcW w:w="1215" w:type="dxa"/>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总价</w:t>
            </w:r>
          </w:p>
          <w:p>
            <w:pPr>
              <w:jc w:val="center"/>
              <w:rPr>
                <w:rFonts w:ascii="仿宋_GB2312" w:hAnsi="仿宋_GB2312" w:eastAsia="仿宋_GB2312"/>
                <w:b/>
                <w:bCs/>
                <w:sz w:val="32"/>
                <w:szCs w:val="32"/>
              </w:rPr>
            </w:pPr>
            <w:r>
              <w:rPr>
                <w:rFonts w:hint="eastAsia" w:ascii="仿宋_GB2312" w:hAnsi="仿宋_GB2312" w:eastAsia="仿宋_GB2312"/>
                <w:b/>
                <w:bCs/>
                <w:sz w:val="32"/>
                <w:szCs w:val="32"/>
              </w:rPr>
              <w:t>（元）</w:t>
            </w:r>
          </w:p>
        </w:tc>
        <w:tc>
          <w:tcPr>
            <w:tcW w:w="1052" w:type="dxa"/>
            <w:vAlign w:val="center"/>
          </w:tcPr>
          <w:p>
            <w:pPr>
              <w:jc w:val="center"/>
              <w:rPr>
                <w:rFonts w:ascii="仿宋_GB2312" w:hAnsi="仿宋_GB2312" w:eastAsia="仿宋_GB2312"/>
                <w:b/>
                <w:bCs/>
                <w:sz w:val="32"/>
                <w:szCs w:val="32"/>
              </w:rPr>
            </w:pPr>
            <w:r>
              <w:rPr>
                <w:rFonts w:hint="eastAsia" w:ascii="仿宋_GB2312" w:hAnsi="仿宋_GB2312" w:eastAsia="仿宋_GB2312"/>
                <w:b/>
                <w:bCs/>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公称压力：PN40，信号4-20ma，电源：</w:t>
            </w:r>
            <w:r>
              <w:rPr>
                <w:rFonts w:hint="eastAsia" w:ascii="仿宋_GB2312" w:hAnsi="仿宋_GB2312" w:eastAsia="仿宋_GB2312" w:cs="仿宋_GB2312"/>
                <w:sz w:val="28"/>
                <w:szCs w:val="28"/>
                <w:lang w:val="en-US" w:eastAsia="zh-CN"/>
              </w:rPr>
              <w:t>380</w:t>
            </w:r>
            <w:r>
              <w:rPr>
                <w:rFonts w:hint="eastAsia" w:ascii="仿宋_GB2312" w:hAnsi="仿宋_GB2312" w:eastAsia="仿宋_GB2312" w:cs="仿宋_GB2312"/>
                <w:sz w:val="28"/>
                <w:szCs w:val="28"/>
                <w:lang w:val="en-US"/>
              </w:rPr>
              <w:t>V，介质：蒸汽，工作温度：296.6℃，阀前压力：2.3MPa，密封等级：Ⅵ级，阀体材质：WCB，流量特性：等百分比，最大流量520，最小流量50。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DN80</w:t>
            </w:r>
            <w:bookmarkStart w:id="34" w:name="_GoBack"/>
            <w:bookmarkEnd w:id="34"/>
            <w:r>
              <w:rPr>
                <w:rFonts w:hint="eastAsia" w:ascii="仿宋_GB2312" w:hAnsi="仿宋_GB2312" w:eastAsia="仿宋_GB2312" w:cs="仿宋_GB2312"/>
                <w:sz w:val="28"/>
                <w:szCs w:val="28"/>
                <w:lang w:val="en-US"/>
              </w:rPr>
              <w:t>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公称压力：PN63，信号4-20ma，电源：</w:t>
            </w:r>
            <w:r>
              <w:rPr>
                <w:rFonts w:hint="eastAsia" w:ascii="仿宋_GB2312" w:hAnsi="仿宋_GB2312" w:eastAsia="仿宋_GB2312" w:cs="仿宋_GB2312"/>
                <w:sz w:val="28"/>
                <w:szCs w:val="28"/>
                <w:lang w:val="en-US" w:eastAsia="zh-CN"/>
              </w:rPr>
              <w:t>380</w:t>
            </w:r>
            <w:r>
              <w:rPr>
                <w:rFonts w:hint="eastAsia" w:ascii="仿宋_GB2312" w:hAnsi="仿宋_GB2312" w:eastAsia="仿宋_GB2312" w:cs="仿宋_GB2312"/>
                <w:sz w:val="28"/>
                <w:szCs w:val="28"/>
                <w:lang w:val="en-US"/>
              </w:rPr>
              <w:t>V,介质：蒸汽，工作温度：306.5℃，阀前压力：3.12MPa,密封等级:Ⅵ级,阀体材质：WCB,流量特性：等百分比,最大流量250；最小流量30。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DN600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公称压力：PN40，信号4-20ma，电源：</w:t>
            </w:r>
            <w:r>
              <w:rPr>
                <w:rFonts w:hint="eastAsia" w:ascii="仿宋_GB2312" w:hAnsi="仿宋_GB2312" w:eastAsia="仿宋_GB2312" w:cs="仿宋_GB2312"/>
                <w:sz w:val="28"/>
                <w:szCs w:val="28"/>
                <w:lang w:val="en-US" w:eastAsia="zh-CN"/>
              </w:rPr>
              <w:t>380</w:t>
            </w:r>
            <w:r>
              <w:rPr>
                <w:rFonts w:hint="eastAsia" w:ascii="仿宋_GB2312" w:hAnsi="仿宋_GB2312" w:eastAsia="仿宋_GB2312" w:cs="仿宋_GB2312"/>
                <w:sz w:val="28"/>
                <w:szCs w:val="28"/>
                <w:lang w:val="en-US"/>
              </w:rPr>
              <w:t>V，介质：蒸汽，工作温度：296.6℃，阀前压力：2.3MPa，密封等级：Ⅵ级，阀体材质：WCB，流量特性：等百分比，最大流量200，最小流量30。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DN500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电动</w:t>
            </w:r>
          </w:p>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工艺阀</w:t>
            </w:r>
          </w:p>
        </w:tc>
        <w:tc>
          <w:tcPr>
            <w:tcW w:w="2883" w:type="dxa"/>
            <w:vAlign w:val="center"/>
          </w:tcPr>
          <w:p>
            <w:pPr>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公称压力：PN63，信号4-20ma，电源：</w:t>
            </w:r>
            <w:r>
              <w:rPr>
                <w:rFonts w:hint="eastAsia" w:ascii="仿宋_GB2312" w:hAnsi="仿宋_GB2312" w:eastAsia="仿宋_GB2312" w:cs="仿宋_GB2312"/>
                <w:sz w:val="28"/>
                <w:szCs w:val="28"/>
                <w:lang w:val="en-US" w:eastAsia="zh-CN"/>
              </w:rPr>
              <w:t>380</w:t>
            </w:r>
            <w:r>
              <w:rPr>
                <w:rFonts w:hint="eastAsia" w:ascii="仿宋_GB2312" w:hAnsi="仿宋_GB2312" w:eastAsia="仿宋_GB2312" w:cs="仿宋_GB2312"/>
                <w:sz w:val="28"/>
                <w:szCs w:val="28"/>
                <w:lang w:val="en-US"/>
              </w:rPr>
              <w:t>V,介质：蒸汽，工作温度：306.5℃，阀前压力：3.12MPa,密封等级:Ⅵ级,阀体材质：WCB,流量特性：等百分比,最大流量200；最小流量30。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DN500</w:t>
            </w: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23"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979"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安装费</w:t>
            </w:r>
          </w:p>
        </w:tc>
        <w:tc>
          <w:tcPr>
            <w:tcW w:w="2883" w:type="dxa"/>
            <w:vAlign w:val="center"/>
          </w:tcPr>
          <w:p>
            <w:pPr>
              <w:jc w:val="center"/>
              <w:rPr>
                <w:rFonts w:ascii="仿宋_GB2312" w:hAnsi="仿宋_GB2312" w:eastAsia="仿宋_GB2312" w:cs="仿宋_GB2312"/>
                <w:sz w:val="28"/>
                <w:szCs w:val="28"/>
                <w:lang w:val="en-US"/>
              </w:rPr>
            </w:pPr>
          </w:p>
        </w:tc>
        <w:tc>
          <w:tcPr>
            <w:tcW w:w="1035" w:type="dxa"/>
            <w:vAlign w:val="center"/>
          </w:tcPr>
          <w:p>
            <w:pPr>
              <w:jc w:val="center"/>
              <w:rPr>
                <w:rFonts w:ascii="仿宋_GB2312" w:hAnsi="仿宋_GB2312" w:eastAsia="仿宋_GB2312" w:cs="仿宋_GB2312"/>
                <w:sz w:val="28"/>
                <w:szCs w:val="28"/>
                <w:lang w:val="en-US"/>
              </w:rPr>
            </w:pPr>
          </w:p>
        </w:tc>
        <w:tc>
          <w:tcPr>
            <w:tcW w:w="1035"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p>
        </w:tc>
        <w:tc>
          <w:tcPr>
            <w:tcW w:w="1050" w:type="dxa"/>
            <w:vAlign w:val="center"/>
          </w:tcPr>
          <w:p>
            <w:pPr>
              <w:jc w:val="center"/>
              <w:rPr>
                <w:rFonts w:ascii="仿宋_GB2312" w:hAnsi="仿宋_GB2312" w:eastAsia="仿宋_GB2312" w:cs="仿宋_GB2312"/>
                <w:sz w:val="28"/>
                <w:szCs w:val="28"/>
                <w:lang w:val="en-US"/>
              </w:rPr>
            </w:pPr>
          </w:p>
        </w:tc>
        <w:tc>
          <w:tcPr>
            <w:tcW w:w="1215" w:type="dxa"/>
          </w:tcPr>
          <w:p>
            <w:pPr>
              <w:jc w:val="center"/>
              <w:rPr>
                <w:rFonts w:ascii="仿宋_GB2312" w:hAnsi="仿宋_GB2312" w:eastAsia="仿宋_GB2312" w:cs="仿宋_GB2312"/>
                <w:sz w:val="28"/>
                <w:szCs w:val="28"/>
                <w:lang w:val="en-US"/>
              </w:rPr>
            </w:pPr>
          </w:p>
        </w:tc>
        <w:tc>
          <w:tcPr>
            <w:tcW w:w="1052" w:type="dxa"/>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702" w:type="dxa"/>
            <w:gridSpan w:val="2"/>
            <w:vAlign w:val="center"/>
          </w:tcPr>
          <w:p>
            <w:pPr>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合计</w:t>
            </w:r>
          </w:p>
        </w:tc>
        <w:tc>
          <w:tcPr>
            <w:tcW w:w="8270" w:type="dxa"/>
            <w:gridSpan w:val="6"/>
          </w:tcPr>
          <w:p>
            <w:pPr>
              <w:jc w:val="center"/>
              <w:rPr>
                <w:rFonts w:ascii="仿宋_GB2312" w:hAnsi="仿宋_GB2312" w:eastAsia="仿宋_GB2312" w:cs="仿宋_GB2312"/>
                <w:sz w:val="28"/>
                <w:szCs w:val="28"/>
                <w:lang w:val="en-US"/>
              </w:rPr>
            </w:pPr>
          </w:p>
        </w:tc>
      </w:tr>
    </w:tbl>
    <w:p>
      <w:pPr>
        <w:pStyle w:val="2"/>
        <w:jc w:val="both"/>
      </w:pPr>
    </w:p>
    <w:p/>
    <w:p>
      <w:pPr>
        <w:pStyle w:val="2"/>
      </w:pPr>
    </w:p>
    <w:p/>
    <w:p>
      <w:pPr>
        <w:adjustRightInd w:val="0"/>
        <w:snapToGrid w:val="0"/>
        <w:spacing w:line="560" w:lineRule="exact"/>
        <w:jc w:val="center"/>
        <w:rPr>
          <w:rFonts w:ascii="方正小标宋简体" w:hAnsi="方正小标宋简体" w:eastAsia="方正小标宋简体" w:cs="方正小标宋简体"/>
          <w:sz w:val="44"/>
          <w:szCs w:val="44"/>
        </w:rPr>
      </w:pPr>
      <w:bookmarkStart w:id="11" w:name="_Toc1398"/>
      <w:bookmarkStart w:id="12" w:name="_Toc6148"/>
      <w:bookmarkStart w:id="13" w:name="_Toc5607"/>
      <w:bookmarkStart w:id="14" w:name="_Toc9590"/>
      <w:bookmarkStart w:id="15" w:name="_Toc19399_WPSOffice_Level1"/>
    </w:p>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p>
    <w:p>
      <w:pPr>
        <w:adjustRightInd w:val="0"/>
        <w:snapToGrid w:val="0"/>
        <w:spacing w:line="560" w:lineRule="exact"/>
        <w:jc w:val="both"/>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三、授权委托书</w:t>
      </w:r>
      <w:bookmarkEnd w:id="11"/>
      <w:bookmarkEnd w:id="12"/>
      <w:bookmarkEnd w:id="13"/>
      <w:bookmarkEnd w:id="14"/>
      <w:bookmarkEnd w:id="15"/>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委托期限：   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4"/>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2090" w:firstLineChars="950"/>
      </w:pPr>
      <w:bookmarkStart w:id="16" w:name="_Toc14082"/>
      <w:bookmarkStart w:id="17" w:name="_Toc22710"/>
      <w:bookmarkStart w:id="18" w:name="_Toc26187_WPSOffice_Level2"/>
      <w:r>
        <w:rPr>
          <w:rFonts w:hint="eastAsia"/>
        </w:rPr>
        <w:br w:type="page"/>
      </w:r>
      <w:bookmarkStart w:id="19" w:name="_Toc9424"/>
      <w:bookmarkStart w:id="20" w:name="_Toc31824"/>
      <w:bookmarkStart w:id="21" w:name="_Toc27593"/>
      <w:bookmarkStart w:id="22" w:name="_Toc8696"/>
      <w:r>
        <w:rPr>
          <w:rFonts w:hint="eastAsia" w:ascii="方正小标宋简体" w:hAnsi="方正小标宋简体" w:eastAsia="方正小标宋简体" w:cs="方正小标宋简体"/>
          <w:sz w:val="44"/>
          <w:szCs w:val="44"/>
        </w:rPr>
        <w:t>四、法定代表人身份证明</w:t>
      </w:r>
      <w:bookmarkEnd w:id="16"/>
      <w:bookmarkEnd w:id="17"/>
      <w:bookmarkEnd w:id="18"/>
      <w:bookmarkEnd w:id="19"/>
      <w:bookmarkEnd w:id="20"/>
      <w:bookmarkEnd w:id="21"/>
      <w:bookmarkEnd w:id="22"/>
    </w:p>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姓名：  性别：  年龄：  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23" w:name="_Toc11729_WPSOffice_Level1"/>
      <w:bookmarkStart w:id="24" w:name="_Toc18768"/>
      <w:bookmarkStart w:id="25" w:name="_Toc29959"/>
      <w:bookmarkStart w:id="26" w:name="_Toc23875"/>
      <w:bookmarkStart w:id="27" w:name="_Toc12618"/>
      <w:bookmarkStart w:id="28" w:name="_Toc18563_WPSOffice_Level1"/>
      <w:bookmarkStart w:id="29" w:name="_Toc2496"/>
    </w:p>
    <w:bookmarkEnd w:id="23"/>
    <w:bookmarkEnd w:id="24"/>
    <w:bookmarkEnd w:id="25"/>
    <w:bookmarkEnd w:id="26"/>
    <w:bookmarkEnd w:id="27"/>
    <w:bookmarkEnd w:id="28"/>
    <w:bookmarkEnd w:id="29"/>
    <w:p>
      <w:pPr>
        <w:adjustRightInd w:val="0"/>
        <w:snapToGrid w:val="0"/>
        <w:spacing w:line="560" w:lineRule="exact"/>
        <w:jc w:val="center"/>
        <w:rPr>
          <w:rFonts w:ascii="方正小标宋简体" w:hAnsi="方正小标宋简体" w:eastAsia="方正小标宋简体" w:cs="方正小标宋简体"/>
          <w:sz w:val="44"/>
          <w:szCs w:val="44"/>
        </w:rPr>
      </w:pPr>
      <w:bookmarkStart w:id="30" w:name="_Toc9715"/>
      <w:bookmarkStart w:id="31" w:name="_Toc3866"/>
      <w:bookmarkStart w:id="32" w:name="_Toc27627"/>
      <w:bookmarkStart w:id="33" w:name="_Toc31086"/>
      <w:r>
        <w:rPr>
          <w:rFonts w:hint="eastAsia" w:ascii="方正小标宋简体" w:hAnsi="方正小标宋简体" w:eastAsia="方正小标宋简体" w:cs="方正小标宋简体"/>
          <w:sz w:val="44"/>
          <w:szCs w:val="44"/>
        </w:rPr>
        <w:t>五、</w:t>
      </w:r>
      <w:r>
        <w:rPr>
          <w:rFonts w:hint="eastAsia" w:ascii="方正小标宋简体" w:hAnsi="方正小标宋简体" w:eastAsia="方正小标宋简体" w:cs="方正小标宋简体"/>
          <w:sz w:val="44"/>
          <w:szCs w:val="44"/>
          <w:lang w:val="en-US"/>
        </w:rPr>
        <w:t>参选单位</w:t>
      </w:r>
      <w:r>
        <w:rPr>
          <w:rFonts w:hint="eastAsia" w:ascii="方正小标宋简体" w:hAnsi="方正小标宋简体" w:eastAsia="方正小标宋简体" w:cs="方正小标宋简体"/>
          <w:sz w:val="44"/>
          <w:szCs w:val="44"/>
        </w:rPr>
        <w:t>基本情况表</w:t>
      </w:r>
      <w:bookmarkEnd w:id="30"/>
      <w:bookmarkEnd w:id="31"/>
      <w:bookmarkEnd w:id="32"/>
      <w:bookmarkEnd w:id="33"/>
    </w:p>
    <w:p>
      <w:pPr>
        <w:adjustRightInd w:val="0"/>
        <w:snapToGrid w:val="0"/>
        <w:spacing w:line="560" w:lineRule="exact"/>
        <w:ind w:firstLine="640" w:firstLineChars="200"/>
        <w:jc w:val="center"/>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（2）资格证明文件</w:t>
      </w:r>
    </w:p>
    <w:p>
      <w:pPr>
        <w:widowControl/>
        <w:autoSpaceDE/>
        <w:autoSpaceDN/>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参选单位应按要求附相关证明材料复印件，如：统一社会信用代码的营业执照、授权代理资格文件（如有）等。</w:t>
      </w:r>
    </w:p>
    <w:p>
      <w:r>
        <w:rPr>
          <w:rFonts w:hint="eastAsia"/>
          <w:bCs/>
          <w:sz w:val="24"/>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六、近三年类似项目情况表</w:t>
      </w:r>
    </w:p>
    <w:p/>
    <w:tbl>
      <w:tblPr>
        <w:tblStyle w:val="15"/>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spacing w:beforeLines="50"/>
              <w:jc w:val="center"/>
              <w:rPr>
                <w:rFonts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ind w:right="-154" w:rightChars="-70"/>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ind w:left="376" w:leftChars="171" w:right="-154" w:rightChars="-70"/>
              <w:jc w:val="center"/>
              <w:rPr>
                <w:bCs/>
                <w:szCs w:val="21"/>
              </w:rPr>
            </w:pPr>
          </w:p>
        </w:tc>
        <w:tc>
          <w:tcPr>
            <w:tcW w:w="1675" w:type="dxa"/>
            <w:vAlign w:val="center"/>
          </w:tcPr>
          <w:p>
            <w:pPr>
              <w:ind w:left="376" w:leftChars="171" w:right="-154" w:rightChars="-70"/>
              <w:jc w:val="center"/>
              <w:rPr>
                <w:bCs/>
                <w:szCs w:val="21"/>
              </w:rPr>
            </w:pPr>
          </w:p>
        </w:tc>
        <w:tc>
          <w:tcPr>
            <w:tcW w:w="1300" w:type="dxa"/>
            <w:vAlign w:val="center"/>
          </w:tcPr>
          <w:p>
            <w:pPr>
              <w:ind w:left="376" w:leftChars="171" w:right="-154" w:rightChars="-70"/>
              <w:jc w:val="center"/>
              <w:rPr>
                <w:bCs/>
                <w:szCs w:val="21"/>
              </w:rPr>
            </w:pPr>
          </w:p>
        </w:tc>
        <w:tc>
          <w:tcPr>
            <w:tcW w:w="1288" w:type="dxa"/>
            <w:vAlign w:val="center"/>
          </w:tcPr>
          <w:p>
            <w:pPr>
              <w:ind w:left="376" w:leftChars="171" w:right="-154" w:rightChars="-70"/>
              <w:jc w:val="center"/>
              <w:rPr>
                <w:bCs/>
                <w:szCs w:val="21"/>
              </w:rPr>
            </w:pPr>
          </w:p>
        </w:tc>
        <w:tc>
          <w:tcPr>
            <w:tcW w:w="1796" w:type="dxa"/>
            <w:vAlign w:val="center"/>
          </w:tcPr>
          <w:p>
            <w:pPr>
              <w:ind w:left="376" w:leftChars="171" w:right="-154" w:rightChars="-70"/>
              <w:jc w:val="center"/>
              <w:rPr>
                <w:bCs/>
                <w:szCs w:val="21"/>
              </w:rPr>
            </w:pPr>
          </w:p>
        </w:tc>
        <w:tc>
          <w:tcPr>
            <w:tcW w:w="807" w:type="dxa"/>
            <w:vAlign w:val="center"/>
          </w:tcPr>
          <w:p>
            <w:pPr>
              <w:ind w:left="376" w:leftChars="171" w:right="-154" w:rightChars="-70"/>
              <w:jc w:val="center"/>
              <w:rPr>
                <w:bCs/>
                <w:szCs w:val="21"/>
              </w:rPr>
            </w:pPr>
          </w:p>
        </w:tc>
      </w:tr>
    </w:tbl>
    <w:p>
      <w:pPr>
        <w:spacing w:before="6"/>
        <w:rPr>
          <w:sz w:val="5"/>
          <w:szCs w:val="5"/>
        </w:rPr>
      </w:pPr>
    </w:p>
    <w:p>
      <w:r>
        <w:rPr>
          <w:rFonts w:hint="eastAsia" w:ascii="仿宋_GB2312" w:hAnsi="仿宋_GB2312" w:eastAsia="仿宋_GB2312" w:cs="仿宋_GB2312"/>
          <w:color w:val="000000"/>
          <w:sz w:val="32"/>
          <w:szCs w:val="32"/>
        </w:rPr>
        <w:t>注：类似业绩是指：近3年(</w:t>
      </w:r>
      <w:r>
        <w:rPr>
          <w:rFonts w:hint="eastAsia" w:ascii="仿宋_GB2312" w:hAnsi="仿宋_GB2312" w:eastAsia="仿宋_GB2312" w:cs="仿宋_GB2312"/>
          <w:color w:val="000000"/>
          <w:sz w:val="32"/>
          <w:szCs w:val="32"/>
          <w:lang w:val="en-US"/>
        </w:rPr>
        <w:t>2020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个类似项目业绩，证明材料为合同复印件。</w:t>
      </w:r>
      <w:r>
        <w:rPr>
          <w:rFonts w:hint="eastAsia"/>
          <w:b/>
          <w:sz w:val="28"/>
          <w:szCs w:val="28"/>
          <w:lang w:bidi="zh-CN"/>
        </w:rPr>
        <w:br w:type="page"/>
      </w:r>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七、供货方案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综合评估法（评分细则）中的评分因素节点顺序编写。</w:t>
      </w:r>
    </w:p>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spacing w:line="520" w:lineRule="exact"/>
        <w:rPr>
          <w:rFonts w:cs="Times New Roman"/>
        </w:rPr>
      </w:pPr>
    </w:p>
    <w:p>
      <w:pPr>
        <w:pStyle w:val="4"/>
      </w:pPr>
    </w:p>
    <w:p/>
    <w:p>
      <w:pPr>
        <w:pStyle w:val="4"/>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八、服务承诺</w:t>
      </w: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513"/>
        <w:tab w:val="clear" w:pos="90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tabs>
                              <w:tab w:val="center" w:pos="4153"/>
                              <w:tab w:val="right" w:pos="8306"/>
                              <w:tab w:val="clear" w:pos="4513"/>
                              <w:tab w:val="clear" w:pos="902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9"/>
                      <w:tabs>
                        <w:tab w:val="center" w:pos="4153"/>
                        <w:tab w:val="right" w:pos="8306"/>
                        <w:tab w:val="clear" w:pos="4513"/>
                        <w:tab w:val="clear" w:pos="902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5822E2F0"/>
    <w:multiLevelType w:val="singleLevel"/>
    <w:tmpl w:val="5822E2F0"/>
    <w:lvl w:ilvl="0" w:tentative="0">
      <w:start w:val="1"/>
      <w:numFmt w:val="decimal"/>
      <w:suff w:val="nothing"/>
      <w:lvlText w:val="%1、"/>
      <w:lvlJc w:val="left"/>
    </w:lvl>
  </w:abstractNum>
  <w:abstractNum w:abstractNumId="3">
    <w:nsid w:val="75CCC671"/>
    <w:multiLevelType w:val="singleLevel"/>
    <w:tmpl w:val="75CCC671"/>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YWI3M2FhNDdlMzg2MWEzYWM3NmQ3ZDkxYmMwZmYifQ=="/>
  </w:docVars>
  <w:rsids>
    <w:rsidRoot w:val="001C67EB"/>
    <w:rsid w:val="000045A1"/>
    <w:rsid w:val="00025A62"/>
    <w:rsid w:val="0002613C"/>
    <w:rsid w:val="00041B3F"/>
    <w:rsid w:val="0005795D"/>
    <w:rsid w:val="000650CB"/>
    <w:rsid w:val="000717D9"/>
    <w:rsid w:val="000A624C"/>
    <w:rsid w:val="000C0B64"/>
    <w:rsid w:val="000D108F"/>
    <w:rsid w:val="000E2E3B"/>
    <w:rsid w:val="000E31D7"/>
    <w:rsid w:val="000E3D1B"/>
    <w:rsid w:val="000E565E"/>
    <w:rsid w:val="0013720D"/>
    <w:rsid w:val="00140A02"/>
    <w:rsid w:val="0014675A"/>
    <w:rsid w:val="0017648D"/>
    <w:rsid w:val="001B2C05"/>
    <w:rsid w:val="001B4285"/>
    <w:rsid w:val="001B56B8"/>
    <w:rsid w:val="001C67EB"/>
    <w:rsid w:val="001D1CDA"/>
    <w:rsid w:val="001E2CE6"/>
    <w:rsid w:val="001E5080"/>
    <w:rsid w:val="001E5A16"/>
    <w:rsid w:val="001F05E2"/>
    <w:rsid w:val="001F1524"/>
    <w:rsid w:val="0021196D"/>
    <w:rsid w:val="00214A7C"/>
    <w:rsid w:val="00230956"/>
    <w:rsid w:val="00237024"/>
    <w:rsid w:val="002432AB"/>
    <w:rsid w:val="00250E50"/>
    <w:rsid w:val="002612C8"/>
    <w:rsid w:val="00263441"/>
    <w:rsid w:val="00264BB9"/>
    <w:rsid w:val="00266E3A"/>
    <w:rsid w:val="002938A3"/>
    <w:rsid w:val="00297B51"/>
    <w:rsid w:val="002A7383"/>
    <w:rsid w:val="002B05B7"/>
    <w:rsid w:val="002C3CF1"/>
    <w:rsid w:val="002C79D9"/>
    <w:rsid w:val="00300685"/>
    <w:rsid w:val="003121C0"/>
    <w:rsid w:val="003341D6"/>
    <w:rsid w:val="00345680"/>
    <w:rsid w:val="00347029"/>
    <w:rsid w:val="00353536"/>
    <w:rsid w:val="00355007"/>
    <w:rsid w:val="003601BB"/>
    <w:rsid w:val="00376BE3"/>
    <w:rsid w:val="0038343F"/>
    <w:rsid w:val="00395421"/>
    <w:rsid w:val="003B3EFB"/>
    <w:rsid w:val="003C7BA2"/>
    <w:rsid w:val="003E04D3"/>
    <w:rsid w:val="004128AF"/>
    <w:rsid w:val="00432284"/>
    <w:rsid w:val="00440DD8"/>
    <w:rsid w:val="004433F3"/>
    <w:rsid w:val="004435FA"/>
    <w:rsid w:val="00452563"/>
    <w:rsid w:val="00462EA2"/>
    <w:rsid w:val="00466890"/>
    <w:rsid w:val="00473514"/>
    <w:rsid w:val="0048643F"/>
    <w:rsid w:val="004900E8"/>
    <w:rsid w:val="00492F19"/>
    <w:rsid w:val="004B61BE"/>
    <w:rsid w:val="004E4B04"/>
    <w:rsid w:val="004E6429"/>
    <w:rsid w:val="004E74D0"/>
    <w:rsid w:val="00521CCF"/>
    <w:rsid w:val="0053042B"/>
    <w:rsid w:val="00530EB0"/>
    <w:rsid w:val="00535B09"/>
    <w:rsid w:val="005375B4"/>
    <w:rsid w:val="00540656"/>
    <w:rsid w:val="00572CD2"/>
    <w:rsid w:val="00574D12"/>
    <w:rsid w:val="00580526"/>
    <w:rsid w:val="00593F70"/>
    <w:rsid w:val="005A0E6B"/>
    <w:rsid w:val="005A5E3D"/>
    <w:rsid w:val="005B3BD5"/>
    <w:rsid w:val="005C0E44"/>
    <w:rsid w:val="005D6418"/>
    <w:rsid w:val="005F2CA9"/>
    <w:rsid w:val="005F2D00"/>
    <w:rsid w:val="0060143C"/>
    <w:rsid w:val="00604E90"/>
    <w:rsid w:val="00610219"/>
    <w:rsid w:val="00611619"/>
    <w:rsid w:val="00616DBE"/>
    <w:rsid w:val="0062270C"/>
    <w:rsid w:val="00624279"/>
    <w:rsid w:val="006249E3"/>
    <w:rsid w:val="006257D2"/>
    <w:rsid w:val="00644507"/>
    <w:rsid w:val="00646091"/>
    <w:rsid w:val="00654E8D"/>
    <w:rsid w:val="0066526E"/>
    <w:rsid w:val="00671041"/>
    <w:rsid w:val="006737B5"/>
    <w:rsid w:val="006917D1"/>
    <w:rsid w:val="00694B9D"/>
    <w:rsid w:val="006A441B"/>
    <w:rsid w:val="006B5557"/>
    <w:rsid w:val="006C3973"/>
    <w:rsid w:val="006C7D65"/>
    <w:rsid w:val="006D2C08"/>
    <w:rsid w:val="006D34BA"/>
    <w:rsid w:val="006E67F3"/>
    <w:rsid w:val="006E7CAD"/>
    <w:rsid w:val="00702004"/>
    <w:rsid w:val="00747308"/>
    <w:rsid w:val="007537EF"/>
    <w:rsid w:val="007543C4"/>
    <w:rsid w:val="00795954"/>
    <w:rsid w:val="007A1383"/>
    <w:rsid w:val="007A4320"/>
    <w:rsid w:val="007A64E7"/>
    <w:rsid w:val="007B06CB"/>
    <w:rsid w:val="007B4206"/>
    <w:rsid w:val="007D286E"/>
    <w:rsid w:val="007D6208"/>
    <w:rsid w:val="007E69C4"/>
    <w:rsid w:val="008056D4"/>
    <w:rsid w:val="00813773"/>
    <w:rsid w:val="00822D73"/>
    <w:rsid w:val="00830A8D"/>
    <w:rsid w:val="008328A8"/>
    <w:rsid w:val="00836AB0"/>
    <w:rsid w:val="0084484C"/>
    <w:rsid w:val="008459AC"/>
    <w:rsid w:val="00845C4B"/>
    <w:rsid w:val="00852BF6"/>
    <w:rsid w:val="00854232"/>
    <w:rsid w:val="00862512"/>
    <w:rsid w:val="00862D2B"/>
    <w:rsid w:val="0086748F"/>
    <w:rsid w:val="00867760"/>
    <w:rsid w:val="0087225E"/>
    <w:rsid w:val="008809DF"/>
    <w:rsid w:val="00882992"/>
    <w:rsid w:val="00883B1E"/>
    <w:rsid w:val="00886BCD"/>
    <w:rsid w:val="008A2760"/>
    <w:rsid w:val="008B0C52"/>
    <w:rsid w:val="008B4114"/>
    <w:rsid w:val="008C4C45"/>
    <w:rsid w:val="008E1076"/>
    <w:rsid w:val="008F343D"/>
    <w:rsid w:val="00920A59"/>
    <w:rsid w:val="00945717"/>
    <w:rsid w:val="009B4C39"/>
    <w:rsid w:val="009C5E85"/>
    <w:rsid w:val="009D2B59"/>
    <w:rsid w:val="009F3861"/>
    <w:rsid w:val="00A170FF"/>
    <w:rsid w:val="00A23A51"/>
    <w:rsid w:val="00A24108"/>
    <w:rsid w:val="00A2565C"/>
    <w:rsid w:val="00A3691A"/>
    <w:rsid w:val="00A57500"/>
    <w:rsid w:val="00A5767B"/>
    <w:rsid w:val="00A8079B"/>
    <w:rsid w:val="00A81D63"/>
    <w:rsid w:val="00A9598B"/>
    <w:rsid w:val="00AE0931"/>
    <w:rsid w:val="00AF5B51"/>
    <w:rsid w:val="00B05E67"/>
    <w:rsid w:val="00B12F40"/>
    <w:rsid w:val="00B27FFC"/>
    <w:rsid w:val="00B34568"/>
    <w:rsid w:val="00B37AA1"/>
    <w:rsid w:val="00B426A7"/>
    <w:rsid w:val="00B51DDE"/>
    <w:rsid w:val="00B5541E"/>
    <w:rsid w:val="00B702BA"/>
    <w:rsid w:val="00B75025"/>
    <w:rsid w:val="00B8366C"/>
    <w:rsid w:val="00B9211C"/>
    <w:rsid w:val="00BA312C"/>
    <w:rsid w:val="00BA5915"/>
    <w:rsid w:val="00BC41FC"/>
    <w:rsid w:val="00BD59B3"/>
    <w:rsid w:val="00BE113A"/>
    <w:rsid w:val="00BE3308"/>
    <w:rsid w:val="00BF7B9A"/>
    <w:rsid w:val="00C02996"/>
    <w:rsid w:val="00C04ED4"/>
    <w:rsid w:val="00C210C5"/>
    <w:rsid w:val="00C21F47"/>
    <w:rsid w:val="00C23CCE"/>
    <w:rsid w:val="00C416CB"/>
    <w:rsid w:val="00C45081"/>
    <w:rsid w:val="00C45DB5"/>
    <w:rsid w:val="00C53E8D"/>
    <w:rsid w:val="00C5769F"/>
    <w:rsid w:val="00C613D7"/>
    <w:rsid w:val="00C741E1"/>
    <w:rsid w:val="00C74643"/>
    <w:rsid w:val="00C818FE"/>
    <w:rsid w:val="00C967B9"/>
    <w:rsid w:val="00CA0BA9"/>
    <w:rsid w:val="00CA5758"/>
    <w:rsid w:val="00CC454D"/>
    <w:rsid w:val="00CD4831"/>
    <w:rsid w:val="00CE4FA5"/>
    <w:rsid w:val="00CF4107"/>
    <w:rsid w:val="00D07E05"/>
    <w:rsid w:val="00D14B77"/>
    <w:rsid w:val="00D50AF9"/>
    <w:rsid w:val="00D5745A"/>
    <w:rsid w:val="00D62AE7"/>
    <w:rsid w:val="00D722DA"/>
    <w:rsid w:val="00D83D9C"/>
    <w:rsid w:val="00D905EF"/>
    <w:rsid w:val="00DA1421"/>
    <w:rsid w:val="00DB78B6"/>
    <w:rsid w:val="00DD38AF"/>
    <w:rsid w:val="00DD7D4D"/>
    <w:rsid w:val="00DE4431"/>
    <w:rsid w:val="00DF13D6"/>
    <w:rsid w:val="00E066BB"/>
    <w:rsid w:val="00E16AA7"/>
    <w:rsid w:val="00E227D4"/>
    <w:rsid w:val="00E259A1"/>
    <w:rsid w:val="00E37EBD"/>
    <w:rsid w:val="00E41E12"/>
    <w:rsid w:val="00E62710"/>
    <w:rsid w:val="00E6615D"/>
    <w:rsid w:val="00E87055"/>
    <w:rsid w:val="00E9469A"/>
    <w:rsid w:val="00EB44F4"/>
    <w:rsid w:val="00ED490E"/>
    <w:rsid w:val="00ED7FFB"/>
    <w:rsid w:val="00EF08B7"/>
    <w:rsid w:val="00EF1CF4"/>
    <w:rsid w:val="00EF32CB"/>
    <w:rsid w:val="00EF3925"/>
    <w:rsid w:val="00F026B1"/>
    <w:rsid w:val="00F029E9"/>
    <w:rsid w:val="00F02A98"/>
    <w:rsid w:val="00F31EF9"/>
    <w:rsid w:val="00F41912"/>
    <w:rsid w:val="00F42748"/>
    <w:rsid w:val="00F50596"/>
    <w:rsid w:val="00F50F9D"/>
    <w:rsid w:val="00F6577F"/>
    <w:rsid w:val="00F75A7C"/>
    <w:rsid w:val="00F77E07"/>
    <w:rsid w:val="00F83A3F"/>
    <w:rsid w:val="00F85458"/>
    <w:rsid w:val="00F8779B"/>
    <w:rsid w:val="00FB24EE"/>
    <w:rsid w:val="00FB2E8C"/>
    <w:rsid w:val="00FB32D9"/>
    <w:rsid w:val="00FC4C7A"/>
    <w:rsid w:val="00FD3CD0"/>
    <w:rsid w:val="00FF280C"/>
    <w:rsid w:val="00FF3B32"/>
    <w:rsid w:val="00FF448B"/>
    <w:rsid w:val="010B3B8E"/>
    <w:rsid w:val="013D2C22"/>
    <w:rsid w:val="01403EC0"/>
    <w:rsid w:val="018819A3"/>
    <w:rsid w:val="01913BED"/>
    <w:rsid w:val="01973F8F"/>
    <w:rsid w:val="01BF7228"/>
    <w:rsid w:val="01EA41CE"/>
    <w:rsid w:val="020300CC"/>
    <w:rsid w:val="020645B0"/>
    <w:rsid w:val="02586BC6"/>
    <w:rsid w:val="02777B00"/>
    <w:rsid w:val="02A73B6A"/>
    <w:rsid w:val="02AE4D4C"/>
    <w:rsid w:val="02B70424"/>
    <w:rsid w:val="02C05A6D"/>
    <w:rsid w:val="02EB5053"/>
    <w:rsid w:val="02F22101"/>
    <w:rsid w:val="03026B54"/>
    <w:rsid w:val="030A0A19"/>
    <w:rsid w:val="03151C9E"/>
    <w:rsid w:val="03724010"/>
    <w:rsid w:val="038D298C"/>
    <w:rsid w:val="038E79C2"/>
    <w:rsid w:val="03C92BF3"/>
    <w:rsid w:val="03CE5549"/>
    <w:rsid w:val="044D0C77"/>
    <w:rsid w:val="048C572C"/>
    <w:rsid w:val="04AD2207"/>
    <w:rsid w:val="04EE7D24"/>
    <w:rsid w:val="04F01435"/>
    <w:rsid w:val="050F30F9"/>
    <w:rsid w:val="054A5C01"/>
    <w:rsid w:val="057105F6"/>
    <w:rsid w:val="057F0446"/>
    <w:rsid w:val="059D0A08"/>
    <w:rsid w:val="05AB3E6A"/>
    <w:rsid w:val="05AC1439"/>
    <w:rsid w:val="05E71B48"/>
    <w:rsid w:val="06054623"/>
    <w:rsid w:val="06230744"/>
    <w:rsid w:val="062F1645"/>
    <w:rsid w:val="064A15DA"/>
    <w:rsid w:val="065251AE"/>
    <w:rsid w:val="0667262A"/>
    <w:rsid w:val="06B2498E"/>
    <w:rsid w:val="06B63B41"/>
    <w:rsid w:val="06EC4BCE"/>
    <w:rsid w:val="06F26A73"/>
    <w:rsid w:val="06F3322D"/>
    <w:rsid w:val="07711049"/>
    <w:rsid w:val="077D00F1"/>
    <w:rsid w:val="077F0A04"/>
    <w:rsid w:val="07920F9C"/>
    <w:rsid w:val="07A3576F"/>
    <w:rsid w:val="07A81AAA"/>
    <w:rsid w:val="07B700A2"/>
    <w:rsid w:val="082219DE"/>
    <w:rsid w:val="08242228"/>
    <w:rsid w:val="082C48FE"/>
    <w:rsid w:val="083A1AB6"/>
    <w:rsid w:val="08413DC2"/>
    <w:rsid w:val="08432B40"/>
    <w:rsid w:val="086D6042"/>
    <w:rsid w:val="08952E18"/>
    <w:rsid w:val="08A12BD8"/>
    <w:rsid w:val="08CD124E"/>
    <w:rsid w:val="08DC6666"/>
    <w:rsid w:val="08FF581D"/>
    <w:rsid w:val="090628A2"/>
    <w:rsid w:val="091B155C"/>
    <w:rsid w:val="09206931"/>
    <w:rsid w:val="09926EE5"/>
    <w:rsid w:val="09AF6E69"/>
    <w:rsid w:val="09B63701"/>
    <w:rsid w:val="09BA44FD"/>
    <w:rsid w:val="09EC36DF"/>
    <w:rsid w:val="09FB1B7B"/>
    <w:rsid w:val="0A09000F"/>
    <w:rsid w:val="0A1F1898"/>
    <w:rsid w:val="0A3966BC"/>
    <w:rsid w:val="0A531426"/>
    <w:rsid w:val="0A5E7D9F"/>
    <w:rsid w:val="0A72688C"/>
    <w:rsid w:val="0AE02685"/>
    <w:rsid w:val="0AFC012D"/>
    <w:rsid w:val="0B9374BB"/>
    <w:rsid w:val="0B975245"/>
    <w:rsid w:val="0BD3541A"/>
    <w:rsid w:val="0BDB0FD4"/>
    <w:rsid w:val="0BFC46A6"/>
    <w:rsid w:val="0C2B7554"/>
    <w:rsid w:val="0C3679D9"/>
    <w:rsid w:val="0C6962CF"/>
    <w:rsid w:val="0C6A786A"/>
    <w:rsid w:val="0CCE1122"/>
    <w:rsid w:val="0D381C04"/>
    <w:rsid w:val="0D4C2D15"/>
    <w:rsid w:val="0D6568A8"/>
    <w:rsid w:val="0DF427E4"/>
    <w:rsid w:val="0E071701"/>
    <w:rsid w:val="0E592FB9"/>
    <w:rsid w:val="0EA53D03"/>
    <w:rsid w:val="0ECC091A"/>
    <w:rsid w:val="0EE313D3"/>
    <w:rsid w:val="0F015C38"/>
    <w:rsid w:val="0F2E7210"/>
    <w:rsid w:val="0F341BD2"/>
    <w:rsid w:val="0F352BB2"/>
    <w:rsid w:val="0F4E1D7E"/>
    <w:rsid w:val="0F777BA4"/>
    <w:rsid w:val="102F1776"/>
    <w:rsid w:val="10347F72"/>
    <w:rsid w:val="106F102E"/>
    <w:rsid w:val="10857922"/>
    <w:rsid w:val="108C151C"/>
    <w:rsid w:val="10AA6E9C"/>
    <w:rsid w:val="10C17A03"/>
    <w:rsid w:val="10CC0889"/>
    <w:rsid w:val="11026BF0"/>
    <w:rsid w:val="114C7C65"/>
    <w:rsid w:val="11514DD8"/>
    <w:rsid w:val="115766A9"/>
    <w:rsid w:val="115F485B"/>
    <w:rsid w:val="119F57C8"/>
    <w:rsid w:val="11AE68ED"/>
    <w:rsid w:val="11D14645"/>
    <w:rsid w:val="11E903EC"/>
    <w:rsid w:val="11FD4303"/>
    <w:rsid w:val="12244719"/>
    <w:rsid w:val="12522DD5"/>
    <w:rsid w:val="126D7620"/>
    <w:rsid w:val="12745BD0"/>
    <w:rsid w:val="12967690"/>
    <w:rsid w:val="12A20822"/>
    <w:rsid w:val="12A23653"/>
    <w:rsid w:val="12A9412C"/>
    <w:rsid w:val="131211AE"/>
    <w:rsid w:val="134C426A"/>
    <w:rsid w:val="13CD7088"/>
    <w:rsid w:val="13D67DA1"/>
    <w:rsid w:val="13FE18F2"/>
    <w:rsid w:val="14415210"/>
    <w:rsid w:val="1460394D"/>
    <w:rsid w:val="14622A56"/>
    <w:rsid w:val="147E5035"/>
    <w:rsid w:val="148D3B80"/>
    <w:rsid w:val="14C00C9D"/>
    <w:rsid w:val="150831A9"/>
    <w:rsid w:val="15193CC8"/>
    <w:rsid w:val="15295083"/>
    <w:rsid w:val="15547332"/>
    <w:rsid w:val="15C24B23"/>
    <w:rsid w:val="16100A8D"/>
    <w:rsid w:val="16741462"/>
    <w:rsid w:val="16856D30"/>
    <w:rsid w:val="16D45970"/>
    <w:rsid w:val="16DD031D"/>
    <w:rsid w:val="16E24F78"/>
    <w:rsid w:val="17027B41"/>
    <w:rsid w:val="17097E87"/>
    <w:rsid w:val="170F53D3"/>
    <w:rsid w:val="1712136B"/>
    <w:rsid w:val="17160A73"/>
    <w:rsid w:val="17293F36"/>
    <w:rsid w:val="1733653A"/>
    <w:rsid w:val="174A6CF7"/>
    <w:rsid w:val="17600EBD"/>
    <w:rsid w:val="177E52A7"/>
    <w:rsid w:val="17824B80"/>
    <w:rsid w:val="17AF3586"/>
    <w:rsid w:val="18046C3B"/>
    <w:rsid w:val="183E0C19"/>
    <w:rsid w:val="18915A62"/>
    <w:rsid w:val="1899206D"/>
    <w:rsid w:val="18A11373"/>
    <w:rsid w:val="18E75F19"/>
    <w:rsid w:val="18FA3678"/>
    <w:rsid w:val="19076CD9"/>
    <w:rsid w:val="190B385C"/>
    <w:rsid w:val="1920279D"/>
    <w:rsid w:val="192446F4"/>
    <w:rsid w:val="194C1FDF"/>
    <w:rsid w:val="195254E4"/>
    <w:rsid w:val="195C0F15"/>
    <w:rsid w:val="19651514"/>
    <w:rsid w:val="197D0F24"/>
    <w:rsid w:val="19BC699E"/>
    <w:rsid w:val="19CD36EC"/>
    <w:rsid w:val="19CF1D73"/>
    <w:rsid w:val="1A0141A2"/>
    <w:rsid w:val="1A150CBA"/>
    <w:rsid w:val="1A200404"/>
    <w:rsid w:val="1A2F56AE"/>
    <w:rsid w:val="1A417016"/>
    <w:rsid w:val="1A446A8E"/>
    <w:rsid w:val="1A5368EF"/>
    <w:rsid w:val="1A7E5E61"/>
    <w:rsid w:val="1A8316B0"/>
    <w:rsid w:val="1ACD46AF"/>
    <w:rsid w:val="1AF6250F"/>
    <w:rsid w:val="1AFD5B68"/>
    <w:rsid w:val="1B3518FF"/>
    <w:rsid w:val="1B3B3E0E"/>
    <w:rsid w:val="1B7D57EE"/>
    <w:rsid w:val="1B936970"/>
    <w:rsid w:val="1BA309CA"/>
    <w:rsid w:val="1BDD30CD"/>
    <w:rsid w:val="1C0F0B1F"/>
    <w:rsid w:val="1C6378D9"/>
    <w:rsid w:val="1C7153AD"/>
    <w:rsid w:val="1C89221B"/>
    <w:rsid w:val="1C8D1D80"/>
    <w:rsid w:val="1CA7511C"/>
    <w:rsid w:val="1CF3091B"/>
    <w:rsid w:val="1D596F94"/>
    <w:rsid w:val="1D807E56"/>
    <w:rsid w:val="1DC06883"/>
    <w:rsid w:val="1E1319AE"/>
    <w:rsid w:val="1E552474"/>
    <w:rsid w:val="1E701513"/>
    <w:rsid w:val="1E7E3538"/>
    <w:rsid w:val="1EBF68AC"/>
    <w:rsid w:val="1EDB28B4"/>
    <w:rsid w:val="1EE00E6B"/>
    <w:rsid w:val="1F050C8E"/>
    <w:rsid w:val="1F0C7EDE"/>
    <w:rsid w:val="1F2775C5"/>
    <w:rsid w:val="1F4639A6"/>
    <w:rsid w:val="1F4A24B2"/>
    <w:rsid w:val="1FA34673"/>
    <w:rsid w:val="1FBD276C"/>
    <w:rsid w:val="1FC72A8D"/>
    <w:rsid w:val="1FF52FDB"/>
    <w:rsid w:val="201778B7"/>
    <w:rsid w:val="207B2B23"/>
    <w:rsid w:val="20E16F5E"/>
    <w:rsid w:val="21016A35"/>
    <w:rsid w:val="21133AD3"/>
    <w:rsid w:val="2119426C"/>
    <w:rsid w:val="21392528"/>
    <w:rsid w:val="213C4559"/>
    <w:rsid w:val="213E6BD9"/>
    <w:rsid w:val="21402BC4"/>
    <w:rsid w:val="21473B70"/>
    <w:rsid w:val="21713560"/>
    <w:rsid w:val="21926704"/>
    <w:rsid w:val="21A81778"/>
    <w:rsid w:val="21DE7974"/>
    <w:rsid w:val="22455208"/>
    <w:rsid w:val="224909F5"/>
    <w:rsid w:val="224A4F99"/>
    <w:rsid w:val="22996D75"/>
    <w:rsid w:val="22A63C99"/>
    <w:rsid w:val="22A70A6A"/>
    <w:rsid w:val="22F3355D"/>
    <w:rsid w:val="233F4AAE"/>
    <w:rsid w:val="234478AD"/>
    <w:rsid w:val="239B41CA"/>
    <w:rsid w:val="2400401A"/>
    <w:rsid w:val="2410353E"/>
    <w:rsid w:val="241707B7"/>
    <w:rsid w:val="242E5034"/>
    <w:rsid w:val="24360F3A"/>
    <w:rsid w:val="2460290C"/>
    <w:rsid w:val="246B2FD7"/>
    <w:rsid w:val="24AD44EB"/>
    <w:rsid w:val="24B07143"/>
    <w:rsid w:val="24CD1850"/>
    <w:rsid w:val="2504670D"/>
    <w:rsid w:val="251146BF"/>
    <w:rsid w:val="254B012E"/>
    <w:rsid w:val="255C245C"/>
    <w:rsid w:val="257728C0"/>
    <w:rsid w:val="257B6E2C"/>
    <w:rsid w:val="257C5117"/>
    <w:rsid w:val="25C05921"/>
    <w:rsid w:val="25CE52B7"/>
    <w:rsid w:val="25D618C6"/>
    <w:rsid w:val="26363EC0"/>
    <w:rsid w:val="265047D9"/>
    <w:rsid w:val="26507504"/>
    <w:rsid w:val="266772A3"/>
    <w:rsid w:val="270E6DDB"/>
    <w:rsid w:val="27103E5F"/>
    <w:rsid w:val="27191128"/>
    <w:rsid w:val="272E1599"/>
    <w:rsid w:val="27375A54"/>
    <w:rsid w:val="274D3146"/>
    <w:rsid w:val="274E1ABD"/>
    <w:rsid w:val="275008CC"/>
    <w:rsid w:val="276E2C79"/>
    <w:rsid w:val="277930D9"/>
    <w:rsid w:val="27C17F43"/>
    <w:rsid w:val="28063C2A"/>
    <w:rsid w:val="282450EF"/>
    <w:rsid w:val="282B5E6B"/>
    <w:rsid w:val="283A04EA"/>
    <w:rsid w:val="28615453"/>
    <w:rsid w:val="28830912"/>
    <w:rsid w:val="289C3EB6"/>
    <w:rsid w:val="28BC1F5F"/>
    <w:rsid w:val="28C2606D"/>
    <w:rsid w:val="28CC7599"/>
    <w:rsid w:val="29106B96"/>
    <w:rsid w:val="291B6776"/>
    <w:rsid w:val="292F5DD9"/>
    <w:rsid w:val="29DA56D6"/>
    <w:rsid w:val="29EF0102"/>
    <w:rsid w:val="2A215B6D"/>
    <w:rsid w:val="2A2E409D"/>
    <w:rsid w:val="2A4B586E"/>
    <w:rsid w:val="2A81286E"/>
    <w:rsid w:val="2A852AED"/>
    <w:rsid w:val="2AD27FE8"/>
    <w:rsid w:val="2AD92FBF"/>
    <w:rsid w:val="2B0B32A9"/>
    <w:rsid w:val="2B302F97"/>
    <w:rsid w:val="2B3032E1"/>
    <w:rsid w:val="2B337E9D"/>
    <w:rsid w:val="2B7A45D6"/>
    <w:rsid w:val="2BD03C56"/>
    <w:rsid w:val="2BD55E26"/>
    <w:rsid w:val="2C7D6FDA"/>
    <w:rsid w:val="2C837ECC"/>
    <w:rsid w:val="2C876216"/>
    <w:rsid w:val="2CC161AA"/>
    <w:rsid w:val="2CCC2124"/>
    <w:rsid w:val="2D5906AD"/>
    <w:rsid w:val="2D6A117F"/>
    <w:rsid w:val="2D81118D"/>
    <w:rsid w:val="2D906AA2"/>
    <w:rsid w:val="2DDF5385"/>
    <w:rsid w:val="2E203184"/>
    <w:rsid w:val="2E3F33B7"/>
    <w:rsid w:val="2E455175"/>
    <w:rsid w:val="2E517E3A"/>
    <w:rsid w:val="2E575F70"/>
    <w:rsid w:val="2E5B5E02"/>
    <w:rsid w:val="2E5F1DCF"/>
    <w:rsid w:val="2E7F6EC0"/>
    <w:rsid w:val="2EF120C8"/>
    <w:rsid w:val="2F0C1C64"/>
    <w:rsid w:val="2FAF65C7"/>
    <w:rsid w:val="2FEE634A"/>
    <w:rsid w:val="301756F1"/>
    <w:rsid w:val="305520B8"/>
    <w:rsid w:val="30553E1B"/>
    <w:rsid w:val="30A625DC"/>
    <w:rsid w:val="30B752B3"/>
    <w:rsid w:val="30E068C5"/>
    <w:rsid w:val="30F371EF"/>
    <w:rsid w:val="31014B91"/>
    <w:rsid w:val="312E1A16"/>
    <w:rsid w:val="313C2777"/>
    <w:rsid w:val="314A74A0"/>
    <w:rsid w:val="314B635A"/>
    <w:rsid w:val="31607247"/>
    <w:rsid w:val="31625676"/>
    <w:rsid w:val="31F035E1"/>
    <w:rsid w:val="31F929EF"/>
    <w:rsid w:val="31FA02C5"/>
    <w:rsid w:val="327828AC"/>
    <w:rsid w:val="32894419"/>
    <w:rsid w:val="32937487"/>
    <w:rsid w:val="32BA4DA4"/>
    <w:rsid w:val="32F22425"/>
    <w:rsid w:val="3329223E"/>
    <w:rsid w:val="33321967"/>
    <w:rsid w:val="333E6B04"/>
    <w:rsid w:val="3384425E"/>
    <w:rsid w:val="33C37DEE"/>
    <w:rsid w:val="33C84F76"/>
    <w:rsid w:val="33E5712C"/>
    <w:rsid w:val="33FC648D"/>
    <w:rsid w:val="340475F9"/>
    <w:rsid w:val="345408D5"/>
    <w:rsid w:val="346E0A26"/>
    <w:rsid w:val="34733E19"/>
    <w:rsid w:val="34861CA8"/>
    <w:rsid w:val="349815CA"/>
    <w:rsid w:val="34A06FFE"/>
    <w:rsid w:val="34BE758C"/>
    <w:rsid w:val="35075511"/>
    <w:rsid w:val="3528469E"/>
    <w:rsid w:val="35523F68"/>
    <w:rsid w:val="359472FD"/>
    <w:rsid w:val="35964689"/>
    <w:rsid w:val="35986FD0"/>
    <w:rsid w:val="359B3026"/>
    <w:rsid w:val="35B249C4"/>
    <w:rsid w:val="35E23BD1"/>
    <w:rsid w:val="35F335FB"/>
    <w:rsid w:val="35FB4B57"/>
    <w:rsid w:val="36051A80"/>
    <w:rsid w:val="36585FB2"/>
    <w:rsid w:val="36734712"/>
    <w:rsid w:val="36B02EC8"/>
    <w:rsid w:val="36B93182"/>
    <w:rsid w:val="36C02127"/>
    <w:rsid w:val="36C4461A"/>
    <w:rsid w:val="36DF6B60"/>
    <w:rsid w:val="36FE7FC2"/>
    <w:rsid w:val="37125970"/>
    <w:rsid w:val="377359B9"/>
    <w:rsid w:val="380C74B5"/>
    <w:rsid w:val="38380FD0"/>
    <w:rsid w:val="383D714D"/>
    <w:rsid w:val="383E53D6"/>
    <w:rsid w:val="386B6423"/>
    <w:rsid w:val="38C4477A"/>
    <w:rsid w:val="3904411B"/>
    <w:rsid w:val="3935023C"/>
    <w:rsid w:val="39505B0A"/>
    <w:rsid w:val="3954142D"/>
    <w:rsid w:val="395B374D"/>
    <w:rsid w:val="39840BA4"/>
    <w:rsid w:val="39CD258F"/>
    <w:rsid w:val="39EE0C56"/>
    <w:rsid w:val="3A1127FC"/>
    <w:rsid w:val="3A945337"/>
    <w:rsid w:val="3A995A6F"/>
    <w:rsid w:val="3AAC4B87"/>
    <w:rsid w:val="3AF52260"/>
    <w:rsid w:val="3B087420"/>
    <w:rsid w:val="3B213282"/>
    <w:rsid w:val="3B5F2055"/>
    <w:rsid w:val="3B9C4464"/>
    <w:rsid w:val="3BF672CB"/>
    <w:rsid w:val="3C602A00"/>
    <w:rsid w:val="3C631663"/>
    <w:rsid w:val="3C9973E6"/>
    <w:rsid w:val="3D200F04"/>
    <w:rsid w:val="3D455D95"/>
    <w:rsid w:val="3D7766ED"/>
    <w:rsid w:val="3DAB3F98"/>
    <w:rsid w:val="3DBC3386"/>
    <w:rsid w:val="3DC848C5"/>
    <w:rsid w:val="3E02490C"/>
    <w:rsid w:val="3E1E1C14"/>
    <w:rsid w:val="3E2E04D8"/>
    <w:rsid w:val="3E346E25"/>
    <w:rsid w:val="3E364CC4"/>
    <w:rsid w:val="3E42603F"/>
    <w:rsid w:val="3E9E7846"/>
    <w:rsid w:val="3ECF42F1"/>
    <w:rsid w:val="3F1D5D49"/>
    <w:rsid w:val="3F2E6827"/>
    <w:rsid w:val="3F6C00AC"/>
    <w:rsid w:val="3F6F568C"/>
    <w:rsid w:val="3F755C75"/>
    <w:rsid w:val="3F924F59"/>
    <w:rsid w:val="3FA151F9"/>
    <w:rsid w:val="3FAE6AA4"/>
    <w:rsid w:val="3FD47F69"/>
    <w:rsid w:val="3FDE1FE8"/>
    <w:rsid w:val="3FF34423"/>
    <w:rsid w:val="3FF422C9"/>
    <w:rsid w:val="405553DB"/>
    <w:rsid w:val="40F94196"/>
    <w:rsid w:val="412B0B35"/>
    <w:rsid w:val="4130794D"/>
    <w:rsid w:val="4155004B"/>
    <w:rsid w:val="415A2056"/>
    <w:rsid w:val="41642F2A"/>
    <w:rsid w:val="41674F9B"/>
    <w:rsid w:val="416E5A81"/>
    <w:rsid w:val="41780F88"/>
    <w:rsid w:val="417D028E"/>
    <w:rsid w:val="41C00441"/>
    <w:rsid w:val="420B4DFA"/>
    <w:rsid w:val="421E0BD9"/>
    <w:rsid w:val="42580730"/>
    <w:rsid w:val="42747246"/>
    <w:rsid w:val="427C3F81"/>
    <w:rsid w:val="4297507E"/>
    <w:rsid w:val="429B0A2D"/>
    <w:rsid w:val="42CE6C27"/>
    <w:rsid w:val="42E21017"/>
    <w:rsid w:val="430D30DF"/>
    <w:rsid w:val="431722C4"/>
    <w:rsid w:val="435A6423"/>
    <w:rsid w:val="435A6AF6"/>
    <w:rsid w:val="43626323"/>
    <w:rsid w:val="437E30A5"/>
    <w:rsid w:val="439B62BD"/>
    <w:rsid w:val="441F08B5"/>
    <w:rsid w:val="44227759"/>
    <w:rsid w:val="447B4569"/>
    <w:rsid w:val="44B01210"/>
    <w:rsid w:val="44BB5D20"/>
    <w:rsid w:val="45426A62"/>
    <w:rsid w:val="456328F0"/>
    <w:rsid w:val="45FB315E"/>
    <w:rsid w:val="46217AAC"/>
    <w:rsid w:val="463B5F9F"/>
    <w:rsid w:val="4672263D"/>
    <w:rsid w:val="469A315C"/>
    <w:rsid w:val="46B57DC2"/>
    <w:rsid w:val="46E2369F"/>
    <w:rsid w:val="46F14796"/>
    <w:rsid w:val="46FC29A7"/>
    <w:rsid w:val="473A5310"/>
    <w:rsid w:val="47625402"/>
    <w:rsid w:val="47685BEF"/>
    <w:rsid w:val="47CA07C9"/>
    <w:rsid w:val="47D81B90"/>
    <w:rsid w:val="47F26FF0"/>
    <w:rsid w:val="480D6CA1"/>
    <w:rsid w:val="483D242E"/>
    <w:rsid w:val="483F385C"/>
    <w:rsid w:val="486E0345"/>
    <w:rsid w:val="487507E5"/>
    <w:rsid w:val="487C217E"/>
    <w:rsid w:val="48A0297A"/>
    <w:rsid w:val="48A952D0"/>
    <w:rsid w:val="48E11930"/>
    <w:rsid w:val="493A2946"/>
    <w:rsid w:val="493B2BCF"/>
    <w:rsid w:val="4978303B"/>
    <w:rsid w:val="49835AAD"/>
    <w:rsid w:val="49CC2368"/>
    <w:rsid w:val="49E45A0E"/>
    <w:rsid w:val="4A0C1DB9"/>
    <w:rsid w:val="4A3E2577"/>
    <w:rsid w:val="4A804990"/>
    <w:rsid w:val="4A81570F"/>
    <w:rsid w:val="4A9329B4"/>
    <w:rsid w:val="4A9C3469"/>
    <w:rsid w:val="4AB3028D"/>
    <w:rsid w:val="4ADA414B"/>
    <w:rsid w:val="4ADA5445"/>
    <w:rsid w:val="4B196016"/>
    <w:rsid w:val="4B953823"/>
    <w:rsid w:val="4BB325C0"/>
    <w:rsid w:val="4BBF277F"/>
    <w:rsid w:val="4BC52D55"/>
    <w:rsid w:val="4C007942"/>
    <w:rsid w:val="4C706958"/>
    <w:rsid w:val="4C777516"/>
    <w:rsid w:val="4C846CA4"/>
    <w:rsid w:val="4CA54059"/>
    <w:rsid w:val="4CB94A3C"/>
    <w:rsid w:val="4CBD52DF"/>
    <w:rsid w:val="4D201DC4"/>
    <w:rsid w:val="4D7F2E54"/>
    <w:rsid w:val="4DAA5A6E"/>
    <w:rsid w:val="4DB9213C"/>
    <w:rsid w:val="4DCB6E1C"/>
    <w:rsid w:val="4DD24B3B"/>
    <w:rsid w:val="4E65430D"/>
    <w:rsid w:val="4EA62644"/>
    <w:rsid w:val="4EC4123D"/>
    <w:rsid w:val="4EDC08BA"/>
    <w:rsid w:val="4EEE6B6D"/>
    <w:rsid w:val="4F143A46"/>
    <w:rsid w:val="4F3C4E10"/>
    <w:rsid w:val="4F440FEB"/>
    <w:rsid w:val="4F5E0C5F"/>
    <w:rsid w:val="4F913C42"/>
    <w:rsid w:val="4FCC38B0"/>
    <w:rsid w:val="4FCE7D81"/>
    <w:rsid w:val="4FDC4296"/>
    <w:rsid w:val="4FE93C25"/>
    <w:rsid w:val="500D4A68"/>
    <w:rsid w:val="50662260"/>
    <w:rsid w:val="50E92486"/>
    <w:rsid w:val="50F6700F"/>
    <w:rsid w:val="51895D83"/>
    <w:rsid w:val="51B67E63"/>
    <w:rsid w:val="51F564CD"/>
    <w:rsid w:val="51F81175"/>
    <w:rsid w:val="51FC34F9"/>
    <w:rsid w:val="52083A78"/>
    <w:rsid w:val="52303770"/>
    <w:rsid w:val="52314689"/>
    <w:rsid w:val="523E7208"/>
    <w:rsid w:val="52894B49"/>
    <w:rsid w:val="52BB683B"/>
    <w:rsid w:val="52EB1AD1"/>
    <w:rsid w:val="530B7010"/>
    <w:rsid w:val="530F12A1"/>
    <w:rsid w:val="53481D75"/>
    <w:rsid w:val="5373792B"/>
    <w:rsid w:val="537E65E8"/>
    <w:rsid w:val="539F1746"/>
    <w:rsid w:val="53E874CF"/>
    <w:rsid w:val="54236A6E"/>
    <w:rsid w:val="54406D87"/>
    <w:rsid w:val="54427E26"/>
    <w:rsid w:val="54453BE1"/>
    <w:rsid w:val="544D2566"/>
    <w:rsid w:val="545C43D8"/>
    <w:rsid w:val="546864F3"/>
    <w:rsid w:val="548D23F1"/>
    <w:rsid w:val="54B9685B"/>
    <w:rsid w:val="54E16A5E"/>
    <w:rsid w:val="54F1300A"/>
    <w:rsid w:val="550A5C7C"/>
    <w:rsid w:val="551D0FB9"/>
    <w:rsid w:val="553D4B59"/>
    <w:rsid w:val="553E63F4"/>
    <w:rsid w:val="55436A07"/>
    <w:rsid w:val="55634990"/>
    <w:rsid w:val="558155A2"/>
    <w:rsid w:val="55A31845"/>
    <w:rsid w:val="55CB117E"/>
    <w:rsid w:val="55CD0EED"/>
    <w:rsid w:val="55EF5254"/>
    <w:rsid w:val="56084BA3"/>
    <w:rsid w:val="56223120"/>
    <w:rsid w:val="563E6EFD"/>
    <w:rsid w:val="564B7363"/>
    <w:rsid w:val="56575D33"/>
    <w:rsid w:val="567C6630"/>
    <w:rsid w:val="56D217BD"/>
    <w:rsid w:val="570B1F4A"/>
    <w:rsid w:val="5782466F"/>
    <w:rsid w:val="584317C0"/>
    <w:rsid w:val="58972109"/>
    <w:rsid w:val="58CE7EFE"/>
    <w:rsid w:val="58E67396"/>
    <w:rsid w:val="58F237F4"/>
    <w:rsid w:val="59AC23A2"/>
    <w:rsid w:val="59D4518A"/>
    <w:rsid w:val="59E35C7B"/>
    <w:rsid w:val="59F54118"/>
    <w:rsid w:val="5A0A2913"/>
    <w:rsid w:val="5A0C61F3"/>
    <w:rsid w:val="5A0E4673"/>
    <w:rsid w:val="5A1A212F"/>
    <w:rsid w:val="5A60008A"/>
    <w:rsid w:val="5A715011"/>
    <w:rsid w:val="5ABA12EA"/>
    <w:rsid w:val="5AC6468B"/>
    <w:rsid w:val="5B0E14C3"/>
    <w:rsid w:val="5B1D7C21"/>
    <w:rsid w:val="5B242B9F"/>
    <w:rsid w:val="5B533996"/>
    <w:rsid w:val="5B83376F"/>
    <w:rsid w:val="5BA0551F"/>
    <w:rsid w:val="5BC073A4"/>
    <w:rsid w:val="5BED2FB2"/>
    <w:rsid w:val="5C08084D"/>
    <w:rsid w:val="5C3A7536"/>
    <w:rsid w:val="5C3E408F"/>
    <w:rsid w:val="5C486232"/>
    <w:rsid w:val="5C5A44A1"/>
    <w:rsid w:val="5CB248E4"/>
    <w:rsid w:val="5CBD23E3"/>
    <w:rsid w:val="5CBF53A0"/>
    <w:rsid w:val="5CD852DE"/>
    <w:rsid w:val="5D05081E"/>
    <w:rsid w:val="5D154837"/>
    <w:rsid w:val="5D3051E0"/>
    <w:rsid w:val="5D3112FD"/>
    <w:rsid w:val="5D341877"/>
    <w:rsid w:val="5D3B4981"/>
    <w:rsid w:val="5D7A2200"/>
    <w:rsid w:val="5DA417EF"/>
    <w:rsid w:val="5DB86E63"/>
    <w:rsid w:val="5DC327D8"/>
    <w:rsid w:val="5DD70A42"/>
    <w:rsid w:val="5DDB7DDB"/>
    <w:rsid w:val="5DF140AB"/>
    <w:rsid w:val="5E305E78"/>
    <w:rsid w:val="5E4B436C"/>
    <w:rsid w:val="5E652A0F"/>
    <w:rsid w:val="5E9D190F"/>
    <w:rsid w:val="5EDE3073"/>
    <w:rsid w:val="5EE552BC"/>
    <w:rsid w:val="5EF71DBA"/>
    <w:rsid w:val="5EFC1310"/>
    <w:rsid w:val="5F217011"/>
    <w:rsid w:val="5F7277A6"/>
    <w:rsid w:val="5F816F7A"/>
    <w:rsid w:val="5FB20A87"/>
    <w:rsid w:val="5FD31759"/>
    <w:rsid w:val="60173F3C"/>
    <w:rsid w:val="601D6C7C"/>
    <w:rsid w:val="603E2EFD"/>
    <w:rsid w:val="607668CB"/>
    <w:rsid w:val="60827C23"/>
    <w:rsid w:val="60DD72CC"/>
    <w:rsid w:val="61512D62"/>
    <w:rsid w:val="61823EDE"/>
    <w:rsid w:val="619C5E41"/>
    <w:rsid w:val="61C048EF"/>
    <w:rsid w:val="61D16FBF"/>
    <w:rsid w:val="61DC5ABC"/>
    <w:rsid w:val="62084F5B"/>
    <w:rsid w:val="621B1216"/>
    <w:rsid w:val="622D22A7"/>
    <w:rsid w:val="622F3A11"/>
    <w:rsid w:val="62A4746E"/>
    <w:rsid w:val="62DD7C0C"/>
    <w:rsid w:val="62FB7528"/>
    <w:rsid w:val="633C1D12"/>
    <w:rsid w:val="63865AAC"/>
    <w:rsid w:val="63AD3BE5"/>
    <w:rsid w:val="63B73BDE"/>
    <w:rsid w:val="63C3256E"/>
    <w:rsid w:val="643555E8"/>
    <w:rsid w:val="645E35B8"/>
    <w:rsid w:val="647D3E6C"/>
    <w:rsid w:val="649F58A8"/>
    <w:rsid w:val="64DE2591"/>
    <w:rsid w:val="6518605A"/>
    <w:rsid w:val="65190258"/>
    <w:rsid w:val="65417DFE"/>
    <w:rsid w:val="657F6292"/>
    <w:rsid w:val="659665FA"/>
    <w:rsid w:val="65A9766B"/>
    <w:rsid w:val="65D84660"/>
    <w:rsid w:val="65DF20C9"/>
    <w:rsid w:val="661A2F4B"/>
    <w:rsid w:val="662A570A"/>
    <w:rsid w:val="663D13E6"/>
    <w:rsid w:val="667F6C5D"/>
    <w:rsid w:val="667F6F21"/>
    <w:rsid w:val="668230AB"/>
    <w:rsid w:val="66A23DD6"/>
    <w:rsid w:val="66B41D85"/>
    <w:rsid w:val="66C66CED"/>
    <w:rsid w:val="66C90820"/>
    <w:rsid w:val="66F80A92"/>
    <w:rsid w:val="66F81F2C"/>
    <w:rsid w:val="670C2334"/>
    <w:rsid w:val="671A6F01"/>
    <w:rsid w:val="67317C5C"/>
    <w:rsid w:val="6735432E"/>
    <w:rsid w:val="67622063"/>
    <w:rsid w:val="67670F6B"/>
    <w:rsid w:val="678452F0"/>
    <w:rsid w:val="67AA074C"/>
    <w:rsid w:val="67B62854"/>
    <w:rsid w:val="67B640E7"/>
    <w:rsid w:val="67C87CAE"/>
    <w:rsid w:val="68081EF9"/>
    <w:rsid w:val="680F260B"/>
    <w:rsid w:val="68AF3216"/>
    <w:rsid w:val="68D32DD0"/>
    <w:rsid w:val="697B36D6"/>
    <w:rsid w:val="69906B98"/>
    <w:rsid w:val="69A11A77"/>
    <w:rsid w:val="69E00B09"/>
    <w:rsid w:val="69E5610C"/>
    <w:rsid w:val="6A350A51"/>
    <w:rsid w:val="6A4052C0"/>
    <w:rsid w:val="6A4238FA"/>
    <w:rsid w:val="6A53627D"/>
    <w:rsid w:val="6A5A19CA"/>
    <w:rsid w:val="6A864665"/>
    <w:rsid w:val="6A9F14EE"/>
    <w:rsid w:val="6AA411EF"/>
    <w:rsid w:val="6AC534B6"/>
    <w:rsid w:val="6AD36645"/>
    <w:rsid w:val="6ADE5BA5"/>
    <w:rsid w:val="6AFE025C"/>
    <w:rsid w:val="6B0C16A8"/>
    <w:rsid w:val="6B1449D3"/>
    <w:rsid w:val="6B1E24A0"/>
    <w:rsid w:val="6B340DE5"/>
    <w:rsid w:val="6B610F27"/>
    <w:rsid w:val="6B97209E"/>
    <w:rsid w:val="6BAA566B"/>
    <w:rsid w:val="6BBA441F"/>
    <w:rsid w:val="6BC22636"/>
    <w:rsid w:val="6BC57B94"/>
    <w:rsid w:val="6BC76FA6"/>
    <w:rsid w:val="6BCF7997"/>
    <w:rsid w:val="6BE17F31"/>
    <w:rsid w:val="6BE97924"/>
    <w:rsid w:val="6C03573A"/>
    <w:rsid w:val="6C0B4737"/>
    <w:rsid w:val="6C580E37"/>
    <w:rsid w:val="6C67768B"/>
    <w:rsid w:val="6CA874A8"/>
    <w:rsid w:val="6CDA3AC4"/>
    <w:rsid w:val="6D5E2BF4"/>
    <w:rsid w:val="6D6E10EC"/>
    <w:rsid w:val="6D850343"/>
    <w:rsid w:val="6D871B2D"/>
    <w:rsid w:val="6DA02B23"/>
    <w:rsid w:val="6DA94FAA"/>
    <w:rsid w:val="6DF23107"/>
    <w:rsid w:val="6E1766B3"/>
    <w:rsid w:val="6E1E0647"/>
    <w:rsid w:val="6E360BE9"/>
    <w:rsid w:val="6E5A77C6"/>
    <w:rsid w:val="6EDB4468"/>
    <w:rsid w:val="6F3D0CA7"/>
    <w:rsid w:val="6F77307B"/>
    <w:rsid w:val="6F7D4E2E"/>
    <w:rsid w:val="6F802D11"/>
    <w:rsid w:val="6F9B5B3B"/>
    <w:rsid w:val="6FA1757E"/>
    <w:rsid w:val="6FAE0158"/>
    <w:rsid w:val="6FBF0693"/>
    <w:rsid w:val="70211202"/>
    <w:rsid w:val="70273C05"/>
    <w:rsid w:val="70440E04"/>
    <w:rsid w:val="70644622"/>
    <w:rsid w:val="706C3101"/>
    <w:rsid w:val="70AD4C44"/>
    <w:rsid w:val="70D90D54"/>
    <w:rsid w:val="70DF42B5"/>
    <w:rsid w:val="70F803D3"/>
    <w:rsid w:val="71032417"/>
    <w:rsid w:val="712D6B22"/>
    <w:rsid w:val="713344C3"/>
    <w:rsid w:val="713A005E"/>
    <w:rsid w:val="71773FF5"/>
    <w:rsid w:val="71776DC2"/>
    <w:rsid w:val="71A05869"/>
    <w:rsid w:val="71A9647B"/>
    <w:rsid w:val="71C33BF4"/>
    <w:rsid w:val="71E13EA0"/>
    <w:rsid w:val="723C3CE7"/>
    <w:rsid w:val="723E0B7A"/>
    <w:rsid w:val="727A369D"/>
    <w:rsid w:val="72A31B11"/>
    <w:rsid w:val="72A43DD5"/>
    <w:rsid w:val="72AD525F"/>
    <w:rsid w:val="72F377A7"/>
    <w:rsid w:val="730A2250"/>
    <w:rsid w:val="731B66BB"/>
    <w:rsid w:val="734C073E"/>
    <w:rsid w:val="7363731D"/>
    <w:rsid w:val="736455A0"/>
    <w:rsid w:val="736D43FB"/>
    <w:rsid w:val="73967310"/>
    <w:rsid w:val="73977000"/>
    <w:rsid w:val="73A61DD6"/>
    <w:rsid w:val="73A8706B"/>
    <w:rsid w:val="73BF0FD4"/>
    <w:rsid w:val="73D346B7"/>
    <w:rsid w:val="73D666F6"/>
    <w:rsid w:val="73D8155C"/>
    <w:rsid w:val="73DF0E55"/>
    <w:rsid w:val="74183DFE"/>
    <w:rsid w:val="743D5035"/>
    <w:rsid w:val="74843900"/>
    <w:rsid w:val="74B177D7"/>
    <w:rsid w:val="74B30ABC"/>
    <w:rsid w:val="74CC5756"/>
    <w:rsid w:val="74F7064F"/>
    <w:rsid w:val="75232919"/>
    <w:rsid w:val="75241443"/>
    <w:rsid w:val="7540453D"/>
    <w:rsid w:val="75425BA8"/>
    <w:rsid w:val="755931CB"/>
    <w:rsid w:val="759D6972"/>
    <w:rsid w:val="75DD275B"/>
    <w:rsid w:val="76087EB0"/>
    <w:rsid w:val="765701B3"/>
    <w:rsid w:val="767A3425"/>
    <w:rsid w:val="769228A6"/>
    <w:rsid w:val="769767EC"/>
    <w:rsid w:val="76AD2E4B"/>
    <w:rsid w:val="76BE19B1"/>
    <w:rsid w:val="772069C2"/>
    <w:rsid w:val="77496CDE"/>
    <w:rsid w:val="7762297F"/>
    <w:rsid w:val="77633B26"/>
    <w:rsid w:val="77636963"/>
    <w:rsid w:val="77746901"/>
    <w:rsid w:val="7790523D"/>
    <w:rsid w:val="781125CF"/>
    <w:rsid w:val="7864038E"/>
    <w:rsid w:val="786E080D"/>
    <w:rsid w:val="787E2F8C"/>
    <w:rsid w:val="78886018"/>
    <w:rsid w:val="78B566FC"/>
    <w:rsid w:val="78FD3B62"/>
    <w:rsid w:val="791148F4"/>
    <w:rsid w:val="79154A33"/>
    <w:rsid w:val="7967787E"/>
    <w:rsid w:val="79910979"/>
    <w:rsid w:val="7A0E0561"/>
    <w:rsid w:val="7A23523D"/>
    <w:rsid w:val="7A467BB5"/>
    <w:rsid w:val="7A7C1B93"/>
    <w:rsid w:val="7AEA0BC8"/>
    <w:rsid w:val="7AF2025E"/>
    <w:rsid w:val="7AF23CFE"/>
    <w:rsid w:val="7AF745B2"/>
    <w:rsid w:val="7B291D5E"/>
    <w:rsid w:val="7B4047B3"/>
    <w:rsid w:val="7B541068"/>
    <w:rsid w:val="7B6149C4"/>
    <w:rsid w:val="7BAD3EFC"/>
    <w:rsid w:val="7C0E2980"/>
    <w:rsid w:val="7C420B50"/>
    <w:rsid w:val="7C731A2A"/>
    <w:rsid w:val="7CB56604"/>
    <w:rsid w:val="7CC91668"/>
    <w:rsid w:val="7CF60710"/>
    <w:rsid w:val="7CF73CD3"/>
    <w:rsid w:val="7D340720"/>
    <w:rsid w:val="7D4B0498"/>
    <w:rsid w:val="7D864FB1"/>
    <w:rsid w:val="7DC8268C"/>
    <w:rsid w:val="7DD92494"/>
    <w:rsid w:val="7DED670B"/>
    <w:rsid w:val="7E211112"/>
    <w:rsid w:val="7E8D5312"/>
    <w:rsid w:val="7EAC251A"/>
    <w:rsid w:val="7EF2528D"/>
    <w:rsid w:val="7F1B1EF4"/>
    <w:rsid w:val="7F1C6064"/>
    <w:rsid w:val="7F4608BA"/>
    <w:rsid w:val="7F637777"/>
    <w:rsid w:val="7F886540"/>
    <w:rsid w:val="7FDF16FE"/>
    <w:rsid w:val="7FE83738"/>
    <w:rsid w:val="7FF558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2"/>
    <w:basedOn w:val="1"/>
    <w:next w:val="1"/>
    <w:link w:val="19"/>
    <w:qFormat/>
    <w:uiPriority w:val="99"/>
    <w:pPr>
      <w:spacing w:before="163"/>
      <w:ind w:left="139"/>
      <w:jc w:val="center"/>
      <w:outlineLvl w:val="1"/>
    </w:pPr>
    <w:rPr>
      <w:b/>
      <w:bCs/>
      <w:sz w:val="36"/>
      <w:szCs w:val="36"/>
    </w:rPr>
  </w:style>
  <w:style w:type="paragraph" w:styleId="4">
    <w:name w:val="heading 4"/>
    <w:basedOn w:val="1"/>
    <w:next w:val="1"/>
    <w:link w:val="20"/>
    <w:qFormat/>
    <w:uiPriority w:val="99"/>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3"/>
    <w:qFormat/>
    <w:uiPriority w:val="99"/>
    <w:pPr>
      <w:jc w:val="center"/>
      <w:outlineLvl w:val="0"/>
    </w:pPr>
    <w:rPr>
      <w:rFonts w:ascii="Cambria" w:hAnsi="Cambria" w:cs="Cambria"/>
      <w:b/>
      <w:bCs/>
      <w:sz w:val="32"/>
      <w:szCs w:val="32"/>
    </w:rPr>
  </w:style>
  <w:style w:type="paragraph" w:styleId="5">
    <w:name w:val="Body Text"/>
    <w:basedOn w:val="1"/>
    <w:next w:val="1"/>
    <w:unhideWhenUsed/>
    <w:qFormat/>
    <w:uiPriority w:val="0"/>
    <w:pPr>
      <w:spacing w:after="120"/>
    </w:pPr>
  </w:style>
  <w:style w:type="paragraph" w:styleId="6">
    <w:name w:val="Body Text Indent"/>
    <w:basedOn w:val="1"/>
    <w:qFormat/>
    <w:uiPriority w:val="0"/>
    <w:pPr>
      <w:spacing w:line="360" w:lineRule="auto"/>
      <w:ind w:firstLine="540"/>
    </w:pPr>
  </w:style>
  <w:style w:type="paragraph" w:styleId="7">
    <w:name w:val="Plain Text"/>
    <w:basedOn w:val="1"/>
    <w:link w:val="27"/>
    <w:qFormat/>
    <w:uiPriority w:val="0"/>
    <w:rPr>
      <w:rFonts w:hAnsi="Courier New"/>
      <w:szCs w:val="20"/>
    </w:rPr>
  </w:style>
  <w:style w:type="paragraph" w:styleId="8">
    <w:name w:val="Date"/>
    <w:basedOn w:val="1"/>
    <w:next w:val="1"/>
    <w:link w:val="29"/>
    <w:semiHidden/>
    <w:unhideWhenUsed/>
    <w:qFormat/>
    <w:uiPriority w:val="99"/>
    <w:pPr>
      <w:ind w:left="100" w:leftChars="2500"/>
    </w:pPr>
  </w:style>
  <w:style w:type="paragraph" w:styleId="9">
    <w:name w:val="footer"/>
    <w:basedOn w:val="1"/>
    <w:link w:val="21"/>
    <w:semiHidden/>
    <w:qFormat/>
    <w:uiPriority w:val="99"/>
    <w:pPr>
      <w:tabs>
        <w:tab w:val="center" w:pos="4513"/>
        <w:tab w:val="right" w:pos="9026"/>
      </w:tabs>
      <w:autoSpaceDE/>
      <w:autoSpaceDN/>
      <w:snapToGrid w:val="0"/>
    </w:pPr>
    <w:rPr>
      <w:rFonts w:ascii="Calibri" w:hAnsi="Calibri" w:cs="Calibri"/>
      <w:kern w:val="2"/>
      <w:sz w:val="18"/>
      <w:szCs w:val="18"/>
      <w:lang w:val="en-US"/>
    </w:rPr>
  </w:style>
  <w:style w:type="paragraph" w:styleId="10">
    <w:name w:val="header"/>
    <w:basedOn w:val="1"/>
    <w:link w:val="22"/>
    <w:semiHidden/>
    <w:qFormat/>
    <w:uiPriority w:val="99"/>
    <w:pPr>
      <w:pBdr>
        <w:bottom w:val="single" w:color="auto" w:sz="6" w:space="1"/>
      </w:pBdr>
      <w:tabs>
        <w:tab w:val="center" w:pos="4513"/>
        <w:tab w:val="right" w:pos="9026"/>
      </w:tabs>
      <w:autoSpaceDE/>
      <w:autoSpaceDN/>
      <w:snapToGrid w:val="0"/>
      <w:jc w:val="center"/>
    </w:pPr>
    <w:rPr>
      <w:rFonts w:ascii="Calibri" w:hAnsi="Calibri" w:cs="Calibri"/>
      <w:kern w:val="2"/>
      <w:sz w:val="18"/>
      <w:szCs w:val="18"/>
      <w:lang w:val="en-US"/>
    </w:rPr>
  </w:style>
  <w:style w:type="paragraph" w:styleId="11">
    <w:name w:val="toc 2"/>
    <w:basedOn w:val="12"/>
    <w:next w:val="12"/>
    <w:qFormat/>
    <w:locked/>
    <w:uiPriority w:val="99"/>
    <w:pPr>
      <w:ind w:left="420" w:leftChars="200"/>
    </w:pPr>
  </w:style>
  <w:style w:type="paragraph" w:customStyle="1" w:styleId="12">
    <w:name w:val="正文_2"/>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Body Text First Indent"/>
    <w:basedOn w:val="5"/>
    <w:qFormat/>
    <w:uiPriority w:val="0"/>
    <w:pPr>
      <w:ind w:firstLine="420" w:firstLineChars="100"/>
    </w:pPr>
  </w:style>
  <w:style w:type="paragraph" w:styleId="14">
    <w:name w:val="Body Text First Indent 2"/>
    <w:basedOn w:val="6"/>
    <w:qFormat/>
    <w:uiPriority w:val="0"/>
    <w:pPr>
      <w:ind w:firstLine="420"/>
    </w:pPr>
    <w:rPr>
      <w:sz w:val="21"/>
      <w:szCs w:val="24"/>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qFormat/>
    <w:uiPriority w:val="99"/>
    <w:rPr>
      <w:i/>
      <w:iCs/>
    </w:rPr>
  </w:style>
  <w:style w:type="character" w:customStyle="1" w:styleId="19">
    <w:name w:val="标题 2 Char"/>
    <w:link w:val="3"/>
    <w:qFormat/>
    <w:locked/>
    <w:uiPriority w:val="99"/>
    <w:rPr>
      <w:rFonts w:ascii="宋体" w:hAnsi="宋体" w:eastAsia="宋体" w:cs="宋体"/>
      <w:b/>
      <w:bCs/>
      <w:kern w:val="0"/>
      <w:sz w:val="36"/>
      <w:szCs w:val="36"/>
      <w:lang w:val="zh-CN"/>
    </w:rPr>
  </w:style>
  <w:style w:type="character" w:customStyle="1" w:styleId="20">
    <w:name w:val="标题 4 Char"/>
    <w:link w:val="4"/>
    <w:semiHidden/>
    <w:qFormat/>
    <w:locked/>
    <w:uiPriority w:val="99"/>
    <w:rPr>
      <w:rFonts w:ascii="Cambria" w:hAnsi="Cambria" w:eastAsia="宋体" w:cs="Cambria"/>
      <w:b/>
      <w:bCs/>
      <w:kern w:val="0"/>
      <w:sz w:val="28"/>
      <w:szCs w:val="28"/>
      <w:lang w:val="zh-CN"/>
    </w:rPr>
  </w:style>
  <w:style w:type="character" w:customStyle="1" w:styleId="21">
    <w:name w:val="页脚 Char"/>
    <w:link w:val="9"/>
    <w:semiHidden/>
    <w:qFormat/>
    <w:locked/>
    <w:uiPriority w:val="99"/>
    <w:rPr>
      <w:sz w:val="18"/>
      <w:szCs w:val="18"/>
    </w:rPr>
  </w:style>
  <w:style w:type="character" w:customStyle="1" w:styleId="22">
    <w:name w:val="页眉 Char"/>
    <w:link w:val="10"/>
    <w:semiHidden/>
    <w:qFormat/>
    <w:locked/>
    <w:uiPriority w:val="99"/>
    <w:rPr>
      <w:sz w:val="18"/>
      <w:szCs w:val="18"/>
    </w:rPr>
  </w:style>
  <w:style w:type="character" w:customStyle="1" w:styleId="23">
    <w:name w:val="标题 Char"/>
    <w:link w:val="2"/>
    <w:qFormat/>
    <w:locked/>
    <w:uiPriority w:val="99"/>
    <w:rPr>
      <w:rFonts w:ascii="Cambria" w:hAnsi="Cambria" w:eastAsia="宋体" w:cs="Cambria"/>
      <w:b/>
      <w:bCs/>
      <w:kern w:val="0"/>
      <w:sz w:val="32"/>
      <w:szCs w:val="32"/>
      <w:lang w:val="zh-CN"/>
    </w:rPr>
  </w:style>
  <w:style w:type="paragraph" w:customStyle="1" w:styleId="24">
    <w:name w:val="p0"/>
    <w:basedOn w:val="1"/>
    <w:qFormat/>
    <w:uiPriority w:val="99"/>
    <w:pPr>
      <w:widowControl/>
    </w:pPr>
  </w:style>
  <w:style w:type="paragraph" w:styleId="25">
    <w:name w:val="List Paragraph"/>
    <w:basedOn w:val="1"/>
    <w:qFormat/>
    <w:uiPriority w:val="99"/>
    <w:pPr>
      <w:widowControl/>
      <w:autoSpaceDE/>
      <w:autoSpaceDN/>
      <w:ind w:firstLine="420" w:firstLineChars="200"/>
    </w:pPr>
    <w:rPr>
      <w:rFonts w:ascii="Times New Roman" w:hAnsi="Times New Roman" w:cs="Times New Roman"/>
      <w:lang w:val="en-US"/>
    </w:rPr>
  </w:style>
  <w:style w:type="paragraph" w:customStyle="1" w:styleId="26">
    <w:name w:val="Table Paragraph"/>
    <w:basedOn w:val="1"/>
    <w:qFormat/>
    <w:uiPriority w:val="1"/>
    <w:rPr>
      <w:rFonts w:ascii="Calibri" w:hAnsi="Calibri"/>
      <w:lang w:eastAsia="en-US"/>
    </w:rPr>
  </w:style>
  <w:style w:type="character" w:customStyle="1" w:styleId="27">
    <w:name w:val="纯文本 Char"/>
    <w:basedOn w:val="17"/>
    <w:link w:val="7"/>
    <w:qFormat/>
    <w:uiPriority w:val="0"/>
    <w:rPr>
      <w:rFonts w:ascii="宋体" w:hAnsi="Courier New" w:cs="宋体"/>
      <w:sz w:val="22"/>
      <w:lang w:val="zh-CN"/>
    </w:rPr>
  </w:style>
  <w:style w:type="paragraph" w:customStyle="1" w:styleId="28">
    <w:name w:val="Body Text First Indent 21"/>
    <w:basedOn w:val="1"/>
    <w:qFormat/>
    <w:uiPriority w:val="0"/>
    <w:pPr>
      <w:ind w:firstLine="420"/>
    </w:pPr>
    <w:rPr>
      <w:sz w:val="28"/>
    </w:rPr>
  </w:style>
  <w:style w:type="character" w:customStyle="1" w:styleId="29">
    <w:name w:val="日期 Char"/>
    <w:basedOn w:val="17"/>
    <w:link w:val="8"/>
    <w:semiHidden/>
    <w:qFormat/>
    <w:uiPriority w:val="99"/>
    <w:rPr>
      <w:rFonts w:ascii="宋体" w:hAnsi="宋体" w:cs="宋体"/>
      <w:sz w:val="22"/>
      <w:szCs w:val="22"/>
      <w:lang w:val="zh-CN"/>
    </w:rPr>
  </w:style>
  <w:style w:type="table" w:customStyle="1" w:styleId="30">
    <w:name w:val="网格型1"/>
    <w:basedOn w:val="31"/>
    <w:qFormat/>
    <w:uiPriority w:val="0"/>
    <w:pPr>
      <w:widowControl w:val="0"/>
      <w:jc w:val="both"/>
    </w:pPr>
    <w:tblPr>
      <w:tblCellMar>
        <w:top w:w="0" w:type="dxa"/>
        <w:left w:w="0" w:type="dxa"/>
        <w:bottom w:w="0" w:type="dxa"/>
        <w:right w:w="0" w:type="dxa"/>
      </w:tblCellMar>
    </w:tblPr>
  </w:style>
  <w:style w:type="table" w:customStyle="1" w:styleId="31">
    <w:name w:val="普通表格1"/>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4869</Words>
  <Characters>5129</Characters>
  <Lines>40</Lines>
  <Paragraphs>11</Paragraphs>
  <TotalTime>8</TotalTime>
  <ScaleCrop>false</ScaleCrop>
  <LinksUpToDate>false</LinksUpToDate>
  <CharactersWithSpaces>5243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2023-07-25T10:16:00Z</dcterms:created>
  <dc:creator>AutoBVT</dc:creator>
  <cp:lastModifiedBy>(^_−)−☆</cp:lastModifiedBy>
  <cp:lastPrinted>2023-06-25T02:37:00Z</cp:lastPrinted>
  <dcterms:modified xsi:type="dcterms:W3CDTF">2023-08-01T07:28:21Z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7350CC11F5A34E7391889356C134B7DA_13</vt:lpwstr>
  </property>
</Properties>
</file>