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hint="eastAsia" w:ascii="方正小标宋简体" w:hAnsi="方正小标宋简体" w:eastAsia="方正小标宋简体" w:cs="方正小标宋简体"/>
          <w:sz w:val="44"/>
          <w:szCs w:val="44"/>
          <w:lang w:val="en-US"/>
        </w:rPr>
      </w:pPr>
      <w:bookmarkStart w:id="0" w:name="page3"/>
      <w:bookmarkEnd w:id="0"/>
      <w:r>
        <w:rPr>
          <w:rFonts w:hint="eastAsia" w:ascii="方正小标宋简体" w:hAnsi="方正小标宋简体" w:eastAsia="方正小标宋简体" w:cs="方正小标宋简体"/>
          <w:sz w:val="44"/>
          <w:szCs w:val="44"/>
          <w:lang w:val="en-US"/>
        </w:rPr>
        <w:t>企业安全生产风险智能管控平台</w:t>
      </w:r>
      <w:r>
        <w:rPr>
          <w:rFonts w:hint="eastAsia" w:ascii="方正小标宋简体" w:hAnsi="方正小标宋简体" w:eastAsia="方正小标宋简体" w:cs="方正小标宋简体"/>
          <w:sz w:val="44"/>
          <w:szCs w:val="44"/>
          <w:lang w:val="en-US" w:eastAsia="zh-CN"/>
        </w:rPr>
        <w:t>设备采购及安装</w:t>
      </w:r>
      <w:r>
        <w:rPr>
          <w:rFonts w:hint="eastAsia" w:ascii="方正小标宋简体" w:hAnsi="方正小标宋简体" w:eastAsia="方正小标宋简体" w:cs="方正小标宋简体"/>
          <w:sz w:val="44"/>
          <w:szCs w:val="44"/>
          <w:lang w:val="en-US"/>
        </w:rPr>
        <w:t>项目</w:t>
      </w:r>
    </w:p>
    <w:p>
      <w:pPr>
        <w:spacing w:line="360" w:lineRule="auto"/>
        <w:jc w:val="center"/>
        <w:rPr>
          <w:rFonts w:hint="eastAsia" w:ascii="方正小标宋简体" w:hAnsi="方正小标宋简体" w:eastAsia="方正小标宋简体" w:cs="方正小标宋简体"/>
          <w:sz w:val="44"/>
          <w:szCs w:val="44"/>
          <w:lang w:val="en-US"/>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pPr>
    </w:p>
    <w:p/>
    <w:p>
      <w:pPr>
        <w:pStyle w:val="2"/>
      </w:pPr>
    </w:p>
    <w:p/>
    <w:p>
      <w:pPr>
        <w:pStyle w:val="2"/>
      </w:pP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hint="eastAsia" w:ascii="仿宋_GB2312" w:hAnsi="微软雅黑" w:eastAsia="仿宋_GB2312" w:cs="仿宋_GB2312"/>
          <w:color w:val="333333"/>
          <w:sz w:val="36"/>
          <w:szCs w:val="36"/>
          <w:lang w:val="en-US" w:eastAsia="zh-CN"/>
        </w:rPr>
        <w:t>3</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line="60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企业安全生产风险智能管控平台采购项目</w:t>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比选公告</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定企业安全生产风险智能管控平台采购项目</w:t>
      </w:r>
      <w:r>
        <w:rPr>
          <w:rFonts w:hint="eastAsia" w:ascii="仿宋_GB2312" w:eastAsia="仿宋_GB2312" w:cs="仿宋_GB2312"/>
          <w:color w:val="000000"/>
          <w:sz w:val="32"/>
          <w:szCs w:val="32"/>
          <w:shd w:val="clear" w:color="auto" w:fill="FFFFFF"/>
          <w:lang w:val="en-US"/>
        </w:rPr>
        <w:t>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项目名称：企业安全生产风险智能管控平台设备采购及安装项目</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项目地点：宁夏银川灵武市宁东镇鸳鸯湖新材料工业园区鸿雁路东侧</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建设规模：企业安全管理基础信息及数据采集、教育培训、视频智能算法、设备管理、企业安全生产及重大危险源管理系统等软件。</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w:t>
      </w:r>
      <w:r>
        <w:rPr>
          <w:rFonts w:hint="eastAsia" w:ascii="仿宋_GB2312" w:hAnsi="仿宋_GB2312" w:eastAsia="仿宋_GB2312" w:cs="仿宋_GB2312"/>
          <w:color w:val="000000"/>
          <w:sz w:val="32"/>
          <w:szCs w:val="32"/>
          <w:lang w:val="en-US" w:eastAsia="zh-CN"/>
        </w:rPr>
        <w:t>153</w:t>
      </w:r>
      <w:r>
        <w:rPr>
          <w:rFonts w:ascii="仿宋_GB2312" w:hAnsi="仿宋_GB2312" w:eastAsia="仿宋_GB2312" w:cs="仿宋_GB2312"/>
          <w:color w:val="000000"/>
          <w:sz w:val="32"/>
          <w:szCs w:val="32"/>
        </w:rPr>
        <w:t>万元。</w:t>
      </w:r>
    </w:p>
    <w:p>
      <w:pPr>
        <w:pStyle w:val="9"/>
        <w:widowControl/>
        <w:autoSpaceDE/>
        <w:autoSpaceDN/>
        <w:spacing w:line="600" w:lineRule="exact"/>
        <w:ind w:firstLine="640" w:firstLineChars="20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硬件清单</w:t>
      </w:r>
    </w:p>
    <w:tbl>
      <w:tblPr>
        <w:tblStyle w:val="12"/>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1"/>
        <w:gridCol w:w="2381"/>
        <w:gridCol w:w="3153"/>
        <w:gridCol w:w="109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系统名称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功能模块</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数量（套）</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220" w:firstLineChars="1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双重预防系统平台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个人工作平台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双预控基础管理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效果评估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考核管理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双预控预警管理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安全风险分级管控系统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隐患治理系统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数据统计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大屏展示</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企业驾驶舱（大屏展示）</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厂区数据一览表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人员实时位置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主要功能栏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区域操作栏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快速搜索栏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数据界面切换以及退出按钮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危险化学品企业安全风险智能化管控平台数据体系</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安全管理基础信息及数据采集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实时数据库</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数据采集和存储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生产过程监视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趋势分析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历史回放</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设备状态监测</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事件与报警管理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660" w:firstLineChars="3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教育培训</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安全培训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安全文档</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440" w:firstLineChars="2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视频监控加算法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视频智能算法（烟雾、明火、安全帽）</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27</w:t>
            </w:r>
          </w:p>
        </w:tc>
        <w:tc>
          <w:tcPr>
            <w:tcW w:w="238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28</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巡点检管理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29</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预防性维护</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30</w:t>
            </w:r>
          </w:p>
        </w:tc>
        <w:tc>
          <w:tcPr>
            <w:tcW w:w="238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缺陷管理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31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安全生产管理系统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门禁管理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重大危险源监测预警</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安全风险分区管理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人员在岗在位管理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企业生产全流程管理系统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安全诊断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八大作业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38</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库存管理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能源管理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能源管理中心</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生产实时监控</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能源质量管理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重点耗能设备管理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r>
              <w:rPr>
                <w:rFonts w:hint="eastAsia" w:ascii="等线" w:hAnsi="等线" w:eastAsia="等线" w:cs="等线"/>
                <w:i w:val="0"/>
                <w:color w:val="000000"/>
                <w:sz w:val="22"/>
                <w:szCs w:val="22"/>
                <w:u w:val="none"/>
                <w:lang w:val="en-US" w:eastAsia="zh-CN"/>
              </w:rPr>
              <w:t>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45</w:t>
            </w:r>
          </w:p>
        </w:tc>
        <w:tc>
          <w:tcPr>
            <w:tcW w:w="238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企业网络安全等级保护建设</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互联网边界防火墙</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46</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上网行为管理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48</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单向隔离网闸</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c>
          <w:tcPr>
            <w:tcW w:w="238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人员定位</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套</w:t>
            </w:r>
          </w:p>
        </w:tc>
      </w:tr>
    </w:tbl>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本比选文件仅适用于企业安全生产风险智能管控平台设备采购及安装项目比选工作。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午10</w:t>
      </w:r>
      <w:r>
        <w:rPr>
          <w:rFonts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14:textFill>
            <w14:solidFill>
              <w14:schemeClr w14:val="tx1"/>
            </w14:solidFill>
          </w14:textFill>
        </w:rPr>
        <w:t>宁夏</w:t>
      </w:r>
      <w:r>
        <w:rPr>
          <w:rFonts w:hint="eastAsia" w:ascii="仿宋_GB2312" w:eastAsia="仿宋_GB2312" w:cs="仿宋_GB2312"/>
          <w:color w:val="000000" w:themeColor="text1"/>
          <w:sz w:val="32"/>
          <w:szCs w:val="32"/>
          <w:shd w:val="clear" w:color="auto" w:fill="FFFFFF"/>
          <w14:textFill>
            <w14:solidFill>
              <w14:schemeClr w14:val="tx1"/>
            </w14:solidFill>
          </w14:textFill>
        </w:rPr>
        <w:t>宁东</w:t>
      </w:r>
      <w:r>
        <w:rPr>
          <w:rFonts w:hint="eastAsia" w:ascii="仿宋_GB2312" w:eastAsia="仿宋_GB2312" w:cs="仿宋_GB2312"/>
          <w:color w:val="000000" w:themeColor="text1"/>
          <w:sz w:val="32"/>
          <w:szCs w:val="32"/>
          <w:shd w:val="clear" w:color="auto" w:fill="FFFFFF"/>
          <w:lang w:val="en-US"/>
          <w14:textFill>
            <w14:solidFill>
              <w14:schemeClr w14:val="tx1"/>
            </w14:solidFill>
          </w14:textFill>
        </w:rPr>
        <w:t>科技创业投资有限公司</w:t>
      </w:r>
      <w:r>
        <w:rPr>
          <w:rFonts w:hint="eastAsia" w:ascii="仿宋_GB2312" w:eastAsia="仿宋_GB2312" w:cs="仿宋_GB2312"/>
          <w:color w:val="000000" w:themeColor="text1"/>
          <w:sz w:val="32"/>
          <w:szCs w:val="32"/>
          <w:shd w:val="clear" w:color="auto" w:fill="FFFFFF"/>
          <w14:textFill>
            <w14:solidFill>
              <w14:schemeClr w14:val="tx1"/>
            </w14:solidFill>
          </w14:textFill>
        </w:rPr>
        <w:t>会</w:t>
      </w:r>
      <w:r>
        <w:rPr>
          <w:rFonts w:hint="eastAsia" w:ascii="仿宋_GB2312" w:eastAsia="仿宋_GB2312" w:cs="仿宋_GB2312"/>
          <w:color w:val="000000" w:themeColor="text1"/>
          <w:sz w:val="32"/>
          <w:szCs w:val="32"/>
          <w14:textFill>
            <w14:solidFill>
              <w14:schemeClr w14:val="tx1"/>
            </w14:solidFill>
          </w14:textFill>
        </w:rPr>
        <w:t>议室（</w:t>
      </w:r>
      <w:r>
        <w:rPr>
          <w:rFonts w:hint="eastAsia" w:ascii="仿宋_GB2312" w:eastAsia="仿宋_GB2312" w:cs="仿宋_GB2312"/>
          <w:color w:val="000000" w:themeColor="text1"/>
          <w:sz w:val="32"/>
          <w:szCs w:val="32"/>
          <w:lang w:val="en-US" w:eastAsia="zh-CN"/>
          <w14:textFill>
            <w14:solidFill>
              <w14:schemeClr w14:val="tx1"/>
            </w14:solidFill>
          </w14:textFill>
        </w:rPr>
        <w:t>宁东科技孵化园4楼会议室</w:t>
      </w:r>
      <w:r>
        <w:rPr>
          <w:rFonts w:hint="eastAsia" w:asci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right"/>
        <w:rPr>
          <w:rFonts w:ascii="仿宋_GB2312" w:hAnsi="仿宋_GB2312" w:eastAsia="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600" w:lineRule="exact"/>
        <w:ind w:firstLine="64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组织的企业安全生产风险智能管控平台设备采购及安装项目</w:t>
      </w:r>
      <w:r>
        <w:rPr>
          <w:rFonts w:hint="eastAsia" w:ascii="仿宋_GB2312" w:hAnsi="仿宋_GB2312" w:eastAsia="仿宋_GB2312" w:cs="仿宋_GB2312"/>
          <w:sz w:val="32"/>
          <w:szCs w:val="32"/>
          <w:lang w:val="en-US" w:eastAsia="zh-CN"/>
        </w:rPr>
        <w:t>比选工作，</w:t>
      </w:r>
      <w:r>
        <w:rPr>
          <w:rFonts w:hint="eastAsia" w:ascii="仿宋_GB2312" w:hAnsi="仿宋_GB2312" w:eastAsia="仿宋_GB2312" w:cs="仿宋_GB2312"/>
          <w:sz w:val="32"/>
          <w:szCs w:val="32"/>
        </w:rPr>
        <w:t>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本项目的硬件及实施。</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600" w:lineRule="exact"/>
        <w:ind w:firstLine="64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）为我公司代理人，代表我公司全权处理企业安全生产风险智能管控平台设备采购及安装项目比选参选的一切事项及合同签订、履行等事宜。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pStyle w:val="2"/>
      </w:pPr>
    </w:p>
    <w:p>
      <w:pPr>
        <w:pStyle w:val="2"/>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765620B"/>
    <w:rsid w:val="0000150D"/>
    <w:rsid w:val="0003097F"/>
    <w:rsid w:val="00093EE9"/>
    <w:rsid w:val="001A21C4"/>
    <w:rsid w:val="001E0475"/>
    <w:rsid w:val="001E7D14"/>
    <w:rsid w:val="00261A9A"/>
    <w:rsid w:val="002D08C2"/>
    <w:rsid w:val="003A0277"/>
    <w:rsid w:val="003A354F"/>
    <w:rsid w:val="003B6501"/>
    <w:rsid w:val="003D5AB6"/>
    <w:rsid w:val="004F667D"/>
    <w:rsid w:val="00554EBA"/>
    <w:rsid w:val="00562747"/>
    <w:rsid w:val="00562C1A"/>
    <w:rsid w:val="00586C49"/>
    <w:rsid w:val="005E3E18"/>
    <w:rsid w:val="00763EF5"/>
    <w:rsid w:val="007B23CE"/>
    <w:rsid w:val="008F3B75"/>
    <w:rsid w:val="009E2B7B"/>
    <w:rsid w:val="00A86730"/>
    <w:rsid w:val="00A97F7F"/>
    <w:rsid w:val="00B60B46"/>
    <w:rsid w:val="00B774F8"/>
    <w:rsid w:val="00BB57F3"/>
    <w:rsid w:val="00BF2981"/>
    <w:rsid w:val="00C23386"/>
    <w:rsid w:val="00C26686"/>
    <w:rsid w:val="00C3563A"/>
    <w:rsid w:val="00C82E7B"/>
    <w:rsid w:val="00CA3544"/>
    <w:rsid w:val="00CC0C39"/>
    <w:rsid w:val="00CC7A29"/>
    <w:rsid w:val="00D02A69"/>
    <w:rsid w:val="00EC4E72"/>
    <w:rsid w:val="00F66973"/>
    <w:rsid w:val="02EB05EB"/>
    <w:rsid w:val="032A7070"/>
    <w:rsid w:val="03524E0F"/>
    <w:rsid w:val="0765620B"/>
    <w:rsid w:val="09367163"/>
    <w:rsid w:val="097C01D4"/>
    <w:rsid w:val="0A7510B7"/>
    <w:rsid w:val="10207B26"/>
    <w:rsid w:val="1483317A"/>
    <w:rsid w:val="160B7A20"/>
    <w:rsid w:val="163764AA"/>
    <w:rsid w:val="16EE11A3"/>
    <w:rsid w:val="16FC471D"/>
    <w:rsid w:val="19403950"/>
    <w:rsid w:val="1C4F2035"/>
    <w:rsid w:val="1EF16658"/>
    <w:rsid w:val="1F3152C5"/>
    <w:rsid w:val="216B2BCB"/>
    <w:rsid w:val="21C347B6"/>
    <w:rsid w:val="24F133E8"/>
    <w:rsid w:val="25BC02CF"/>
    <w:rsid w:val="28670123"/>
    <w:rsid w:val="298452E6"/>
    <w:rsid w:val="2D9555EA"/>
    <w:rsid w:val="2E7B0F85"/>
    <w:rsid w:val="3140066B"/>
    <w:rsid w:val="32CA38B5"/>
    <w:rsid w:val="35723AA6"/>
    <w:rsid w:val="378E40C3"/>
    <w:rsid w:val="37C02372"/>
    <w:rsid w:val="3AEB0E18"/>
    <w:rsid w:val="4091309B"/>
    <w:rsid w:val="42375D9D"/>
    <w:rsid w:val="4276565E"/>
    <w:rsid w:val="42CF6AAA"/>
    <w:rsid w:val="43DD12AF"/>
    <w:rsid w:val="4717264F"/>
    <w:rsid w:val="4D1412D8"/>
    <w:rsid w:val="4DDE6A54"/>
    <w:rsid w:val="566E7288"/>
    <w:rsid w:val="579B24CE"/>
    <w:rsid w:val="57AF4CBE"/>
    <w:rsid w:val="5A2A46CB"/>
    <w:rsid w:val="5AC40AB1"/>
    <w:rsid w:val="5F9F6402"/>
    <w:rsid w:val="5FCA6C7B"/>
    <w:rsid w:val="5FEC2B70"/>
    <w:rsid w:val="62FF4E3D"/>
    <w:rsid w:val="63640C4D"/>
    <w:rsid w:val="65850A95"/>
    <w:rsid w:val="66737A2A"/>
    <w:rsid w:val="687A2DB6"/>
    <w:rsid w:val="695A6033"/>
    <w:rsid w:val="69CD23ED"/>
    <w:rsid w:val="6F496970"/>
    <w:rsid w:val="71AF5E5C"/>
    <w:rsid w:val="7305176F"/>
    <w:rsid w:val="74367039"/>
    <w:rsid w:val="74842EFD"/>
    <w:rsid w:val="74B3673F"/>
    <w:rsid w:val="777B612F"/>
    <w:rsid w:val="7DD43220"/>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 w:type="character" w:customStyle="1" w:styleId="17">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534</Words>
  <Characters>3047</Characters>
  <Lines>25</Lines>
  <Paragraphs>7</Paragraphs>
  <TotalTime>4</TotalTime>
  <ScaleCrop>false</ScaleCrop>
  <LinksUpToDate>false</LinksUpToDate>
  <CharactersWithSpaces>3574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郭峻铭</cp:lastModifiedBy>
  <dcterms:modified xsi:type="dcterms:W3CDTF">2023-09-21T03:27:51Z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05B2E03988A64AFE8F44A9E8258F8117</vt:lpwstr>
  </property>
</Properties>
</file>