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hint="eastAsia" w:ascii="方正小标宋简体" w:hAnsi="宋体" w:eastAsia="方正小标宋简体" w:cs="宋体"/>
          <w:bCs/>
          <w:sz w:val="44"/>
          <w:szCs w:val="36"/>
          <w:lang w:val="en-US" w:eastAsia="zh-CN"/>
        </w:rPr>
      </w:pPr>
    </w:p>
    <w:p>
      <w:pPr>
        <w:spacing w:line="576" w:lineRule="exact"/>
        <w:jc w:val="center"/>
        <w:rPr>
          <w:rFonts w:hint="eastAsia" w:ascii="方正小标宋简体" w:hAnsi="宋体" w:eastAsia="方正小标宋简体" w:cs="宋体"/>
          <w:bCs/>
          <w:sz w:val="44"/>
          <w:szCs w:val="36"/>
          <w:lang w:eastAsia="zh-CN"/>
        </w:rPr>
      </w:pPr>
      <w:r>
        <w:rPr>
          <w:rFonts w:hint="eastAsia" w:ascii="方正小标宋简体" w:eastAsia="方正小标宋简体"/>
          <w:sz w:val="44"/>
          <w:szCs w:val="44"/>
          <w:lang w:val="en-US" w:eastAsia="zh-CN"/>
        </w:rPr>
        <w:t>宁东基地党群活动中心物业</w:t>
      </w:r>
      <w:r>
        <w:rPr>
          <w:rFonts w:hint="eastAsia" w:ascii="方正小标宋简体" w:eastAsia="方正小标宋简体"/>
          <w:sz w:val="44"/>
          <w:szCs w:val="44"/>
        </w:rPr>
        <w:t>服务单位</w:t>
      </w:r>
    </w:p>
    <w:p>
      <w:pPr>
        <w:adjustRightInd w:val="0"/>
        <w:snapToGrid w:val="0"/>
        <w:contextualSpacing/>
        <w:jc w:val="center"/>
        <w:rPr>
          <w:rFonts w:ascii="方正小标宋简体" w:hAnsi="微软雅黑" w:eastAsia="方正小标宋简体"/>
          <w:sz w:val="72"/>
          <w:szCs w:val="72"/>
        </w:rPr>
      </w:pPr>
    </w:p>
    <w:p>
      <w:pPr>
        <w:pStyle w:val="10"/>
        <w:ind w:firstLine="220"/>
      </w:pP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rPr>
      </w:pPr>
      <w:r>
        <w:rPr>
          <w:rFonts w:hint="eastAsia" w:ascii="方正小标宋简体" w:hAnsi="方正小标宋简体" w:eastAsia="方正小标宋简体" w:cs="方正小标宋简体"/>
          <w:kern w:val="2"/>
          <w:sz w:val="72"/>
          <w:szCs w:val="72"/>
        </w:rPr>
        <w:t>件</w:t>
      </w:r>
    </w:p>
    <w:p>
      <w:pPr>
        <w:spacing w:line="576" w:lineRule="exact"/>
        <w:ind w:firstLine="1260" w:firstLineChars="350"/>
        <w:rPr>
          <w:rFonts w:ascii="仿宋_GB2312" w:hAnsi="微软雅黑" w:eastAsia="仿宋_GB2312" w:cs="宋体"/>
          <w:sz w:val="36"/>
          <w:szCs w:val="36"/>
        </w:rPr>
      </w:pPr>
    </w:p>
    <w:p>
      <w:pPr>
        <w:spacing w:line="576" w:lineRule="exact"/>
        <w:jc w:val="center"/>
        <w:rPr>
          <w:rFonts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p>
    <w:p>
      <w:pPr>
        <w:pStyle w:val="10"/>
        <w:ind w:firstLine="220"/>
      </w:pPr>
    </w:p>
    <w:p>
      <w:pPr>
        <w:spacing w:line="576" w:lineRule="exact"/>
        <w:jc w:val="center"/>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r>
        <w:rPr>
          <w:rFonts w:hint="eastAsia" w:ascii="方正小标宋简体" w:eastAsia="方正小标宋简体"/>
          <w:sz w:val="44"/>
          <w:szCs w:val="44"/>
        </w:rPr>
        <w:t>宁东</w:t>
      </w:r>
      <w:r>
        <w:rPr>
          <w:rFonts w:hint="eastAsia" w:ascii="方正小标宋简体" w:eastAsia="方正小标宋简体"/>
          <w:sz w:val="44"/>
          <w:szCs w:val="44"/>
          <w:lang w:val="en-US" w:eastAsia="zh-CN"/>
        </w:rPr>
        <w:t>基地党群活动中心物业</w:t>
      </w:r>
      <w:r>
        <w:rPr>
          <w:rFonts w:hint="eastAsia" w:ascii="方正小标宋简体" w:eastAsia="方正小标宋简体"/>
          <w:sz w:val="44"/>
          <w:szCs w:val="44"/>
        </w:rPr>
        <w:t>服务单位</w:t>
      </w:r>
      <w:r>
        <w:rPr>
          <w:rFonts w:hint="eastAsia" w:ascii="方正小标宋简体" w:hAnsi="宋体" w:eastAsia="方正小标宋简体" w:cs="宋体"/>
          <w:bCs/>
          <w:sz w:val="44"/>
          <w:szCs w:val="36"/>
        </w:rPr>
        <w:t>比选文件</w:t>
      </w:r>
    </w:p>
    <w:p>
      <w:pPr>
        <w:pStyle w:val="4"/>
        <w:spacing w:before="0" w:after="0"/>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为保障宁东</w:t>
      </w:r>
      <w:r>
        <w:rPr>
          <w:rFonts w:hint="eastAsia" w:ascii="仿宋" w:hAnsi="仿宋" w:eastAsia="仿宋" w:cs="仿宋"/>
          <w:sz w:val="32"/>
          <w:szCs w:val="32"/>
          <w:lang w:val="en-US" w:eastAsia="zh-CN"/>
        </w:rPr>
        <w:t>基地党群活动中心</w:t>
      </w:r>
      <w:r>
        <w:rPr>
          <w:rFonts w:hint="eastAsia" w:ascii="仿宋" w:hAnsi="仿宋" w:eastAsia="仿宋" w:cs="仿宋"/>
          <w:sz w:val="32"/>
          <w:szCs w:val="32"/>
        </w:rPr>
        <w:t>正常运行，提供高品质</w:t>
      </w:r>
      <w:r>
        <w:rPr>
          <w:rFonts w:hint="eastAsia" w:ascii="仿宋" w:hAnsi="仿宋" w:eastAsia="仿宋" w:cs="仿宋"/>
          <w:sz w:val="32"/>
          <w:szCs w:val="32"/>
          <w:lang w:val="en-US" w:eastAsia="zh-CN"/>
        </w:rPr>
        <w:t>物业</w:t>
      </w:r>
      <w:r>
        <w:rPr>
          <w:rFonts w:hint="eastAsia" w:ascii="仿宋" w:hAnsi="仿宋" w:eastAsia="仿宋" w:cs="仿宋"/>
          <w:sz w:val="32"/>
          <w:szCs w:val="32"/>
        </w:rPr>
        <w:t>服务和</w:t>
      </w:r>
      <w:r>
        <w:rPr>
          <w:rFonts w:hint="eastAsia" w:ascii="仿宋" w:hAnsi="仿宋" w:eastAsia="仿宋" w:cs="仿宋"/>
          <w:sz w:val="32"/>
          <w:szCs w:val="32"/>
          <w:lang w:val="en-US" w:eastAsia="zh-CN"/>
        </w:rPr>
        <w:t>接待</w:t>
      </w:r>
      <w:r>
        <w:rPr>
          <w:rFonts w:hint="eastAsia" w:ascii="仿宋" w:hAnsi="仿宋" w:eastAsia="仿宋" w:cs="仿宋"/>
          <w:sz w:val="32"/>
          <w:szCs w:val="32"/>
        </w:rPr>
        <w:t>服务，根据《宁夏宁东开发投资有限公司总经理办公会议纪要》</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次）精神</w:t>
      </w:r>
      <w:r>
        <w:rPr>
          <w:rFonts w:hint="eastAsia" w:ascii="仿宋" w:hAnsi="仿宋" w:eastAsia="仿宋" w:cs="仿宋"/>
          <w:sz w:val="32"/>
          <w:szCs w:val="32"/>
        </w:rPr>
        <w:t>，现通过公开比选方式</w:t>
      </w:r>
      <w:r>
        <w:rPr>
          <w:rFonts w:hint="eastAsia" w:ascii="仿宋" w:hAnsi="仿宋" w:eastAsia="仿宋" w:cs="仿宋"/>
          <w:b w:val="0"/>
          <w:sz w:val="32"/>
          <w:szCs w:val="32"/>
          <w:highlight w:val="none"/>
          <w:lang w:val="en-US" w:eastAsia="zh-CN"/>
        </w:rPr>
        <w:t>选择一家</w:t>
      </w:r>
      <w:r>
        <w:rPr>
          <w:rFonts w:hint="eastAsia" w:ascii="仿宋" w:hAnsi="仿宋" w:eastAsia="仿宋" w:cs="仿宋"/>
          <w:b w:val="0"/>
          <w:sz w:val="32"/>
          <w:szCs w:val="32"/>
          <w:u w:val="none"/>
          <w:lang w:val="en-US" w:eastAsia="zh-CN"/>
        </w:rPr>
        <w:t>物业服务</w:t>
      </w:r>
      <w:r>
        <w:rPr>
          <w:rFonts w:hint="eastAsia" w:ascii="仿宋" w:hAnsi="仿宋" w:eastAsia="仿宋" w:cs="仿宋"/>
          <w:b w:val="0"/>
          <w:sz w:val="32"/>
          <w:szCs w:val="32"/>
          <w:highlight w:val="none"/>
          <w:lang w:val="en-US" w:eastAsia="zh-CN"/>
        </w:rPr>
        <w:t>单位</w:t>
      </w:r>
      <w:r>
        <w:rPr>
          <w:rFonts w:hint="eastAsia" w:ascii="仿宋" w:hAnsi="仿宋" w:eastAsia="仿宋" w:cs="仿宋"/>
          <w:sz w:val="32"/>
          <w:szCs w:val="32"/>
        </w:rPr>
        <w:t>负责</w:t>
      </w:r>
      <w:r>
        <w:rPr>
          <w:rFonts w:hint="eastAsia" w:ascii="仿宋" w:hAnsi="仿宋" w:eastAsia="仿宋" w:cs="仿宋"/>
          <w:sz w:val="32"/>
          <w:szCs w:val="32"/>
          <w:lang w:val="en-US" w:eastAsia="zh-CN"/>
        </w:rPr>
        <w:t>宁东基地党群活动中心物业、</w:t>
      </w:r>
      <w:r>
        <w:rPr>
          <w:rFonts w:hint="eastAsia" w:ascii="仿宋" w:hAnsi="仿宋" w:eastAsia="仿宋" w:cs="仿宋"/>
          <w:sz w:val="32"/>
          <w:szCs w:val="32"/>
        </w:rPr>
        <w:t>日常维修</w:t>
      </w:r>
      <w:r>
        <w:rPr>
          <w:rFonts w:hint="eastAsia" w:ascii="仿宋" w:hAnsi="仿宋" w:eastAsia="仿宋" w:cs="仿宋"/>
          <w:sz w:val="32"/>
          <w:szCs w:val="32"/>
          <w:lang w:val="en-US" w:eastAsia="zh-CN"/>
        </w:rPr>
        <w:t>及</w:t>
      </w:r>
      <w:r>
        <w:rPr>
          <w:rFonts w:hint="eastAsia" w:ascii="仿宋" w:hAnsi="仿宋" w:eastAsia="仿宋" w:cs="仿宋"/>
          <w:sz w:val="32"/>
          <w:szCs w:val="32"/>
        </w:rPr>
        <w:t>保洁等服务。具体要求如下：</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sz w:val="32"/>
          <w:szCs w:val="32"/>
          <w:lang w:val="en-US" w:eastAsia="zh-CN"/>
        </w:rPr>
        <w:t>一、</w:t>
      </w:r>
      <w:r>
        <w:rPr>
          <w:rFonts w:hint="eastAsia" w:ascii="黑体" w:hAnsi="黑体" w:eastAsia="黑体" w:cs="黑体"/>
          <w:bCs/>
          <w:sz w:val="32"/>
          <w:szCs w:val="32"/>
        </w:rPr>
        <w:t>概况</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项目名称：宁东</w:t>
      </w:r>
      <w:r>
        <w:rPr>
          <w:rFonts w:hint="eastAsia" w:ascii="仿宋" w:hAnsi="仿宋" w:eastAsia="仿宋" w:cs="仿宋"/>
          <w:sz w:val="32"/>
          <w:szCs w:val="32"/>
          <w:lang w:val="en-US" w:eastAsia="zh-CN"/>
        </w:rPr>
        <w:t>基地党群活动中心物业</w:t>
      </w:r>
      <w:r>
        <w:rPr>
          <w:rFonts w:hint="eastAsia" w:ascii="仿宋" w:hAnsi="仿宋" w:eastAsia="仿宋" w:cs="仿宋"/>
          <w:sz w:val="32"/>
          <w:szCs w:val="32"/>
        </w:rPr>
        <w:t>服务项目</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委托单位：宁夏宁东开发投资有限公司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委托事项：负责</w:t>
      </w:r>
      <w:r>
        <w:rPr>
          <w:rFonts w:hint="eastAsia" w:ascii="仿宋" w:hAnsi="仿宋" w:eastAsia="仿宋" w:cs="仿宋"/>
          <w:sz w:val="32"/>
          <w:szCs w:val="32"/>
          <w:lang w:val="en-US" w:eastAsia="zh-CN"/>
        </w:rPr>
        <w:t>宁东基地党群活动中心物业、</w:t>
      </w:r>
      <w:r>
        <w:rPr>
          <w:rFonts w:hint="eastAsia" w:ascii="仿宋" w:hAnsi="仿宋" w:eastAsia="仿宋" w:cs="仿宋"/>
          <w:sz w:val="32"/>
          <w:szCs w:val="32"/>
        </w:rPr>
        <w:t>日常维修</w:t>
      </w:r>
      <w:r>
        <w:rPr>
          <w:rFonts w:hint="eastAsia" w:ascii="仿宋" w:hAnsi="仿宋" w:eastAsia="仿宋" w:cs="仿宋"/>
          <w:sz w:val="32"/>
          <w:szCs w:val="32"/>
          <w:lang w:val="en-US" w:eastAsia="zh-CN"/>
        </w:rPr>
        <w:t>及</w:t>
      </w:r>
      <w:r>
        <w:rPr>
          <w:rFonts w:hint="eastAsia" w:ascii="仿宋" w:hAnsi="仿宋" w:eastAsia="仿宋" w:cs="仿宋"/>
          <w:sz w:val="32"/>
          <w:szCs w:val="32"/>
        </w:rPr>
        <w:t>保洁等服务。</w:t>
      </w:r>
    </w:p>
    <w:p>
      <w:pPr>
        <w:pStyle w:val="5"/>
        <w:keepNext w:val="0"/>
        <w:keepLines w:val="0"/>
        <w:pageBreakBefore w:val="0"/>
        <w:widowControl/>
        <w:kinsoku/>
        <w:wordWrap/>
        <w:overflowPunct/>
        <w:topLinePunct w:val="0"/>
        <w:autoSpaceDE/>
        <w:autoSpaceDN/>
        <w:bidi w:val="0"/>
        <w:adjustRightInd w:val="0"/>
        <w:snapToGrid w:val="0"/>
        <w:spacing w:line="560" w:lineRule="exact"/>
        <w:ind w:right="0" w:rightChars="0" w:firstLine="31680"/>
        <w:textAlignment w:val="auto"/>
        <w:rPr>
          <w:rFonts w:hint="eastAsia" w:ascii="黑体" w:hAnsi="黑体" w:eastAsia="黑体" w:cs="黑体"/>
          <w:bCs/>
          <w:sz w:val="32"/>
          <w:szCs w:val="32"/>
          <w:lang w:eastAsia="zh-CN"/>
        </w:rPr>
      </w:pPr>
      <w:r>
        <w:rPr>
          <w:rFonts w:hint="eastAsia" w:ascii="仿宋" w:hAnsi="仿宋" w:eastAsia="仿宋" w:cs="仿宋"/>
          <w:sz w:val="32"/>
          <w:szCs w:val="32"/>
        </w:rPr>
        <w:t>服务期限：</w:t>
      </w:r>
      <w:r>
        <w:rPr>
          <w:rFonts w:ascii="仿宋" w:hAnsi="仿宋" w:eastAsia="仿宋" w:cs="仿宋"/>
          <w:sz w:val="32"/>
          <w:szCs w:val="32"/>
        </w:rPr>
        <w:t>1</w:t>
      </w:r>
      <w:r>
        <w:rPr>
          <w:rFonts w:hint="eastAsia" w:ascii="仿宋" w:hAnsi="仿宋" w:eastAsia="仿宋" w:cs="仿宋"/>
          <w:sz w:val="32"/>
          <w:szCs w:val="32"/>
        </w:rPr>
        <w:t>年</w:t>
      </w:r>
    </w:p>
    <w:p>
      <w:pPr>
        <w:spacing w:line="560" w:lineRule="exact"/>
        <w:ind w:firstLine="640" w:firstLineChars="200"/>
        <w:contextualSpacing/>
        <w:rPr>
          <w:rFonts w:ascii="仿宋_GB2312" w:hAnsi="仿宋" w:eastAsia="仿宋_GB2312"/>
          <w:sz w:val="32"/>
          <w:szCs w:val="32"/>
        </w:rPr>
      </w:pPr>
      <w:r>
        <w:rPr>
          <w:rFonts w:hint="eastAsia" w:ascii="黑体" w:hAnsi="黑体" w:eastAsia="黑体" w:cs="黑体"/>
          <w:bCs/>
          <w:sz w:val="32"/>
          <w:szCs w:val="32"/>
        </w:rPr>
        <w:t>二、参与比选单位要求</w:t>
      </w:r>
    </w:p>
    <w:p>
      <w:pPr>
        <w:spacing w:line="576" w:lineRule="atLeast"/>
        <w:ind w:firstLine="640" w:firstLineChars="200"/>
        <w:rPr>
          <w:rFonts w:ascii="仿宋" w:hAnsi="仿宋" w:eastAsia="仿宋" w:cs="仿宋"/>
          <w:sz w:val="32"/>
          <w:szCs w:val="32"/>
        </w:rPr>
      </w:pPr>
      <w:r>
        <w:rPr>
          <w:rFonts w:hint="eastAsia" w:ascii="仿宋" w:hAnsi="仿宋" w:eastAsia="仿宋" w:cs="仿宋"/>
          <w:sz w:val="32"/>
          <w:szCs w:val="32"/>
        </w:rPr>
        <w:t>（一）具有独立法人资格，须具备相应营业执照，并在人员、资金等方面具有相应的能力。</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（二）参选单位须至少提供</w:t>
      </w:r>
      <w:r>
        <w:rPr>
          <w:rFonts w:hint="eastAsia" w:ascii="仿宋" w:hAnsi="仿宋" w:eastAsia="仿宋" w:cs="仿宋"/>
          <w:sz w:val="32"/>
          <w:szCs w:val="32"/>
          <w:lang w:val="en-US" w:eastAsia="zh-CN"/>
        </w:rPr>
        <w:t>1个近三年</w:t>
      </w:r>
      <w:r>
        <w:rPr>
          <w:rFonts w:hint="eastAsia" w:ascii="仿宋" w:hAnsi="仿宋" w:eastAsia="仿宋" w:cs="仿宋"/>
          <w:sz w:val="32"/>
          <w:szCs w:val="32"/>
        </w:rPr>
        <w:t>类似项目业绩。</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（三）通过“信用中国”网站（www.creditchina.gov.cn）查询参选单位是否为失信被执行人，并限制失信被执行人参与本次比选。</w:t>
      </w:r>
    </w:p>
    <w:p>
      <w:pPr>
        <w:spacing w:line="576"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（四）参选单位法定代表人为同一人或者存在控股、管理关系的不同企业，不得同时参加本次比选。</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）本项目不接受联合体参选。</w:t>
      </w:r>
    </w:p>
    <w:p>
      <w:pPr>
        <w:widowControl w:val="0"/>
        <w:autoSpaceDE w:val="0"/>
        <w:autoSpaceDN w:val="0"/>
        <w:spacing w:line="560" w:lineRule="exact"/>
        <w:ind w:firstLine="640" w:firstLineChars="200"/>
        <w:jc w:val="both"/>
        <w:rPr>
          <w:rFonts w:ascii="仿宋_GB2312" w:hAnsi="仿宋_GB2312" w:eastAsia="仿宋_GB2312" w:cs="仿宋_GB2312"/>
          <w:b/>
          <w:sz w:val="32"/>
          <w:szCs w:val="32"/>
          <w:lang w:val="zh-CN"/>
        </w:rPr>
      </w:pPr>
      <w:r>
        <w:rPr>
          <w:rFonts w:hint="eastAsia" w:ascii="黑体" w:hAnsi="黑体" w:eastAsia="黑体" w:cs="宋体"/>
          <w:sz w:val="32"/>
          <w:szCs w:val="32"/>
          <w:lang w:val="zh-CN"/>
        </w:rPr>
        <w:t>三、有关证明文件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参选单位必须出具下列资质证明文件：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（一）企业营业执照复印件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加盖公章</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w:t>
      </w:r>
      <w:r>
        <w:rPr>
          <w:rFonts w:hint="eastAsia" w:ascii="仿宋" w:hAnsi="仿宋" w:eastAsia="仿宋" w:cs="仿宋"/>
          <w:sz w:val="32"/>
          <w:szCs w:val="32"/>
        </w:rPr>
        <w:t>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加盖公章</w:t>
      </w:r>
      <w:r>
        <w:rPr>
          <w:rFonts w:hint="eastAsia" w:ascii="仿宋" w:hAnsi="仿宋" w:eastAsia="仿宋" w:cs="仿宋"/>
          <w:sz w:val="32"/>
          <w:szCs w:val="32"/>
          <w:lang w:eastAsia="zh-CN"/>
        </w:rPr>
        <w:t>）</w:t>
      </w:r>
      <w:r>
        <w:rPr>
          <w:rFonts w:hint="eastAsia" w:ascii="仿宋" w:hAnsi="仿宋" w:eastAsia="仿宋" w:cs="仿宋"/>
          <w:sz w:val="32"/>
          <w:szCs w:val="32"/>
          <w:highlight w:val="none"/>
        </w:rPr>
        <w:t>。</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）如参选的代表不是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lang w:val="zh-CN"/>
        </w:rPr>
        <w:t>，代表人须持有法定代表人签字盖章的《</w:t>
      </w:r>
      <w:r>
        <w:rPr>
          <w:rFonts w:hint="eastAsia" w:ascii="仿宋" w:hAnsi="仿宋" w:eastAsia="仿宋" w:cs="仿宋"/>
          <w:sz w:val="32"/>
          <w:szCs w:val="32"/>
          <w:lang w:val="en-US" w:eastAsia="zh-CN"/>
        </w:rPr>
        <w:t>授权委托书</w:t>
      </w:r>
      <w:r>
        <w:rPr>
          <w:rFonts w:hint="eastAsia" w:ascii="仿宋" w:hAnsi="仿宋" w:eastAsia="仿宋" w:cs="仿宋"/>
          <w:sz w:val="32"/>
          <w:szCs w:val="32"/>
          <w:lang w:val="zh-CN"/>
        </w:rPr>
        <w:t>》原件（格式见附件）。</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zh-CN"/>
        </w:rPr>
        <w:t>）参选单位法定代表人身份证复印件（加盖公章）。参</w:t>
      </w:r>
      <w:r>
        <w:rPr>
          <w:rFonts w:hint="eastAsia" w:ascii="仿宋" w:hAnsi="仿宋" w:eastAsia="仿宋" w:cs="仿宋"/>
          <w:sz w:val="32"/>
          <w:szCs w:val="32"/>
          <w:lang w:val="en-US" w:eastAsia="zh-CN"/>
        </w:rPr>
        <w:t>选代表</w:t>
      </w:r>
      <w:r>
        <w:rPr>
          <w:rFonts w:hint="eastAsia" w:ascii="仿宋" w:hAnsi="仿宋" w:eastAsia="仿宋" w:cs="仿宋"/>
          <w:sz w:val="32"/>
          <w:szCs w:val="32"/>
          <w:lang w:val="zh-CN"/>
        </w:rPr>
        <w:t>身份证原件及复印件。</w:t>
      </w:r>
    </w:p>
    <w:p>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报价函及承诺（格式见附件）</w:t>
      </w:r>
    </w:p>
    <w:p>
      <w:pPr>
        <w:adjustRightInd w:val="0"/>
        <w:snapToGrid w:val="0"/>
        <w:spacing w:line="560" w:lineRule="exact"/>
        <w:ind w:firstLine="640" w:firstLineChars="200"/>
        <w:contextualSpacing/>
        <w:jc w:val="both"/>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val="zh-CN"/>
        </w:rPr>
        <w:t>）业绩证明文件（合同复印件加盖公章）。</w:t>
      </w:r>
    </w:p>
    <w:p>
      <w:p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adjustRightInd w:val="0"/>
        <w:snapToGrid w:val="0"/>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zh-CN"/>
        </w:rPr>
        <w:t>适用范围</w:t>
      </w:r>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rPr>
        <w:t>宁东</w:t>
      </w:r>
      <w:r>
        <w:rPr>
          <w:rFonts w:hint="eastAsia" w:ascii="仿宋" w:hAnsi="仿宋" w:eastAsia="仿宋" w:cs="仿宋"/>
          <w:sz w:val="32"/>
          <w:szCs w:val="32"/>
          <w:lang w:val="en-US" w:eastAsia="zh-CN"/>
        </w:rPr>
        <w:t>基地党群活动中心物业服务单位</w:t>
      </w:r>
      <w:r>
        <w:rPr>
          <w:rFonts w:hint="eastAsia" w:ascii="仿宋" w:hAnsi="仿宋" w:eastAsia="仿宋" w:cs="仿宋"/>
          <w:sz w:val="32"/>
          <w:szCs w:val="32"/>
        </w:rPr>
        <w:t>比选工作</w:t>
      </w:r>
      <w:r>
        <w:rPr>
          <w:rFonts w:hint="eastAsia" w:ascii="仿宋" w:hAnsi="仿宋" w:eastAsia="仿宋" w:cs="仿宋"/>
          <w:sz w:val="32"/>
          <w:szCs w:val="32"/>
          <w:lang w:val="zh-CN"/>
        </w:rPr>
        <w:t>。</w:t>
      </w:r>
    </w:p>
    <w:p>
      <w:pPr>
        <w:spacing w:line="560" w:lineRule="exact"/>
        <w:ind w:firstLine="643" w:firstLineChars="200"/>
        <w:jc w:val="both"/>
        <w:rPr>
          <w:rFonts w:ascii="楷体" w:hAnsi="楷体" w:eastAsia="楷体" w:cs="Times New Roman"/>
          <w:b/>
          <w:bCs/>
          <w:sz w:val="32"/>
          <w:szCs w:val="32"/>
        </w:rPr>
      </w:pPr>
      <w:r>
        <w:rPr>
          <w:rFonts w:hint="eastAsia" w:ascii="楷体" w:hAnsi="楷体" w:eastAsia="楷体" w:cs="楷体"/>
          <w:b/>
          <w:bCs/>
          <w:sz w:val="32"/>
          <w:szCs w:val="32"/>
        </w:rPr>
        <w:t>（二）评审委员会组成</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_GB2312"/>
          <w:sz w:val="32"/>
          <w:szCs w:val="32"/>
          <w:lang w:val="en-US"/>
        </w:rPr>
        <w:t>评审委员会由宁夏宁东开发投资有限公司</w:t>
      </w:r>
      <w:r>
        <w:rPr>
          <w:rFonts w:hint="eastAsia" w:ascii="仿宋" w:hAnsi="仿宋" w:eastAsia="仿宋" w:cs="仿宋_GB2312"/>
          <w:sz w:val="32"/>
          <w:szCs w:val="32"/>
          <w:lang w:val="en-US" w:eastAsia="zh-CN"/>
        </w:rPr>
        <w:t>招标</w:t>
      </w:r>
      <w:r>
        <w:rPr>
          <w:rFonts w:hint="eastAsia" w:ascii="仿宋" w:hAnsi="仿宋" w:eastAsia="仿宋" w:cs="仿宋_GB2312"/>
          <w:sz w:val="32"/>
          <w:szCs w:val="32"/>
          <w:lang w:val="en-US"/>
        </w:rPr>
        <w:t>采购领导小组和</w:t>
      </w:r>
      <w:r>
        <w:rPr>
          <w:rFonts w:hint="eastAsia" w:ascii="仿宋" w:hAnsi="仿宋" w:eastAsia="仿宋" w:cs="仿宋_GB2312"/>
          <w:sz w:val="32"/>
          <w:szCs w:val="32"/>
          <w:lang w:val="en-US" w:eastAsia="zh-CN"/>
        </w:rPr>
        <w:t>招标</w:t>
      </w:r>
      <w:r>
        <w:rPr>
          <w:rFonts w:hint="eastAsia" w:ascii="仿宋" w:hAnsi="仿宋" w:eastAsia="仿宋" w:cs="仿宋_GB2312"/>
          <w:sz w:val="32"/>
          <w:szCs w:val="32"/>
          <w:lang w:val="en-US"/>
        </w:rPr>
        <w:t>采购监督领导小组成员组成。</w:t>
      </w:r>
    </w:p>
    <w:p>
      <w:pPr>
        <w:numPr>
          <w:ilvl w:val="0"/>
          <w:numId w:val="1"/>
        </w:num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递交比选文件截止时间和比选时间</w:t>
      </w:r>
    </w:p>
    <w:p>
      <w:pPr>
        <w:spacing w:line="560" w:lineRule="exact"/>
        <w:ind w:firstLine="640" w:firstLineChars="20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lang w:val="en-US"/>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月</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rPr>
        <w:t>日</w:t>
      </w:r>
      <w:r>
        <w:rPr>
          <w:rFonts w:hint="eastAsia" w:ascii="仿宋" w:hAnsi="仿宋" w:eastAsia="仿宋" w:cs="仿宋_GB2312"/>
          <w:sz w:val="32"/>
          <w:szCs w:val="32"/>
          <w:highlight w:val="none"/>
          <w:lang w:val="en-US"/>
        </w:rPr>
        <w:t>上</w:t>
      </w:r>
      <w:r>
        <w:rPr>
          <w:rFonts w:hint="eastAsia" w:ascii="仿宋" w:hAnsi="仿宋" w:eastAsia="仿宋" w:cs="仿宋_GB2312"/>
          <w:sz w:val="32"/>
          <w:szCs w:val="32"/>
          <w:highlight w:val="none"/>
        </w:rPr>
        <w:t>午</w:t>
      </w:r>
      <w:r>
        <w:rPr>
          <w:rFonts w:ascii="仿宋" w:hAnsi="仿宋" w:eastAsia="仿宋" w:cs="仿宋_GB2312"/>
          <w:sz w:val="32"/>
          <w:szCs w:val="32"/>
          <w:highlight w:val="none"/>
          <w:lang w:val="en-US"/>
        </w:rPr>
        <w:t>10</w:t>
      </w:r>
      <w:r>
        <w:rPr>
          <w:rFonts w:hint="eastAsia" w:ascii="仿宋" w:hAnsi="仿宋" w:eastAsia="仿宋" w:cs="仿宋_GB2312"/>
          <w:sz w:val="32"/>
          <w:szCs w:val="32"/>
          <w:highlight w:val="none"/>
          <w:lang w:val="en-US"/>
        </w:rPr>
        <w:t>:00</w:t>
      </w:r>
      <w:r>
        <w:rPr>
          <w:rFonts w:hint="eastAsia" w:ascii="仿宋" w:hAnsi="仿宋" w:eastAsia="仿宋" w:cs="仿宋_GB2312"/>
          <w:sz w:val="32"/>
          <w:szCs w:val="32"/>
          <w:highlight w:val="none"/>
        </w:rPr>
        <w:t>。</w:t>
      </w:r>
    </w:p>
    <w:p>
      <w:pPr>
        <w:numPr>
          <w:ilvl w:val="0"/>
          <w:numId w:val="1"/>
        </w:num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参与比选地点</w:t>
      </w:r>
    </w:p>
    <w:p>
      <w:pPr>
        <w:spacing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rPr>
        <w:t>宁东基地企业总部大楼</w:t>
      </w:r>
      <w:r>
        <w:rPr>
          <w:rFonts w:hint="eastAsia" w:ascii="仿宋" w:hAnsi="仿宋" w:eastAsia="仿宋" w:cs="仿宋"/>
          <w:sz w:val="32"/>
          <w:szCs w:val="32"/>
          <w:lang w:val="en-US"/>
        </w:rPr>
        <w:t>8</w:t>
      </w:r>
      <w:r>
        <w:rPr>
          <w:rFonts w:hint="eastAsia" w:ascii="仿宋" w:hAnsi="仿宋" w:eastAsia="仿宋" w:cs="仿宋"/>
          <w:sz w:val="32"/>
          <w:szCs w:val="32"/>
        </w:rPr>
        <w:t>层</w:t>
      </w:r>
      <w:r>
        <w:rPr>
          <w:rFonts w:hint="eastAsia" w:ascii="仿宋" w:hAnsi="仿宋" w:eastAsia="仿宋" w:cs="仿宋"/>
          <w:sz w:val="32"/>
          <w:szCs w:val="32"/>
          <w:lang w:val="en-US"/>
        </w:rPr>
        <w:t>党员活动室。</w:t>
      </w:r>
    </w:p>
    <w:p>
      <w:pPr>
        <w:spacing w:line="56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杨松垚</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15109501522</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楷体"/>
          <w:b/>
          <w:bCs/>
          <w:sz w:val="32"/>
          <w:szCs w:val="32"/>
          <w:lang w:val="zh-CN"/>
        </w:rPr>
        <w:t>有关要求</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1.参选文件必须按要求用中文编写，所有报价及参选文件中所出现的币种均为人民币，否则报价无效。</w:t>
      </w:r>
    </w:p>
    <w:p>
      <w:pPr>
        <w:spacing w:line="56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（六）比选办法</w:t>
      </w:r>
      <w:r>
        <w:rPr>
          <w:rFonts w:hint="eastAsia" w:ascii="楷体" w:hAnsi="楷体" w:eastAsia="楷体" w:cs="楷体"/>
          <w:b/>
          <w:bCs/>
          <w:sz w:val="32"/>
          <w:szCs w:val="32"/>
          <w:lang w:val="en-US" w:eastAsia="zh-CN"/>
        </w:rPr>
        <w:t>和</w:t>
      </w:r>
      <w:r>
        <w:rPr>
          <w:rFonts w:hint="eastAsia" w:ascii="楷体" w:hAnsi="楷体" w:eastAsia="楷体" w:cs="楷体"/>
          <w:b/>
          <w:bCs/>
          <w:sz w:val="32"/>
          <w:szCs w:val="32"/>
        </w:rPr>
        <w:t>控制价</w:t>
      </w:r>
    </w:p>
    <w:p>
      <w:pPr>
        <w:spacing w:line="560" w:lineRule="exact"/>
        <w:ind w:firstLine="640" w:firstLineChars="200"/>
        <w:contextualSpacing/>
        <w:rPr>
          <w:rFonts w:ascii="仿宋" w:hAnsi="仿宋" w:eastAsia="仿宋" w:cs="仿宋"/>
          <w:b/>
          <w:bCs/>
          <w:sz w:val="32"/>
          <w:szCs w:val="32"/>
          <w:highlight w:val="none"/>
        </w:rPr>
      </w:pPr>
      <w:r>
        <w:rPr>
          <w:rFonts w:hint="eastAsia" w:ascii="仿宋" w:hAnsi="仿宋" w:eastAsia="仿宋" w:cs="仿宋"/>
          <w:sz w:val="32"/>
          <w:szCs w:val="32"/>
          <w:highlight w:val="none"/>
          <w:lang w:val="en-US" w:eastAsia="zh-CN"/>
        </w:rPr>
        <w:t>1.比选办法：</w:t>
      </w:r>
      <w:r>
        <w:rPr>
          <w:rFonts w:hint="eastAsia" w:ascii="仿宋" w:hAnsi="仿宋" w:eastAsia="仿宋" w:cs="仿宋"/>
          <w:sz w:val="32"/>
          <w:szCs w:val="32"/>
          <w:highlight w:val="none"/>
        </w:rPr>
        <w:t>综合评估</w:t>
      </w:r>
      <w:r>
        <w:rPr>
          <w:rFonts w:hint="eastAsia" w:ascii="仿宋" w:hAnsi="仿宋" w:eastAsia="仿宋" w:cs="仿宋"/>
          <w:sz w:val="32"/>
          <w:szCs w:val="32"/>
          <w:highlight w:val="none"/>
          <w:lang w:val="zh-CN"/>
        </w:rPr>
        <w:t>法。</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sz w:val="32"/>
          <w:szCs w:val="32"/>
          <w:highlight w:val="none"/>
          <w:lang w:val="en-US" w:eastAsia="zh-CN"/>
        </w:rPr>
        <w:t>2.参选</w:t>
      </w:r>
      <w:r>
        <w:rPr>
          <w:rFonts w:hint="eastAsia" w:ascii="仿宋" w:hAnsi="仿宋" w:eastAsia="仿宋" w:cs="仿宋"/>
          <w:sz w:val="32"/>
          <w:szCs w:val="32"/>
          <w:highlight w:val="none"/>
        </w:rPr>
        <w:t>控制价为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125</w:t>
      </w:r>
      <w:r>
        <w:rPr>
          <w:rFonts w:hint="eastAsia" w:ascii="仿宋" w:hAnsi="仿宋" w:eastAsia="仿宋" w:cs="仿宋"/>
          <w:sz w:val="32"/>
          <w:szCs w:val="32"/>
          <w:highlight w:val="none"/>
        </w:rPr>
        <w:t>万元</w:t>
      </w:r>
      <w:r>
        <w:rPr>
          <w:rFonts w:ascii="仿宋" w:hAnsi="仿宋" w:eastAsia="仿宋" w:cs="仿宋"/>
          <w:sz w:val="32"/>
          <w:szCs w:val="32"/>
          <w:highlight w:val="none"/>
        </w:rPr>
        <w:t>/</w:t>
      </w:r>
      <w:r>
        <w:rPr>
          <w:rFonts w:hint="eastAsia" w:ascii="仿宋" w:hAnsi="仿宋" w:eastAsia="仿宋" w:cs="仿宋"/>
          <w:sz w:val="32"/>
          <w:szCs w:val="32"/>
          <w:highlight w:val="none"/>
        </w:rPr>
        <w:t>年</w:t>
      </w:r>
      <w:r>
        <w:rPr>
          <w:rFonts w:hint="eastAsia" w:ascii="仿宋" w:hAnsi="仿宋" w:eastAsia="仿宋" w:cs="仿宋"/>
          <w:color w:val="000000"/>
          <w:sz w:val="32"/>
          <w:szCs w:val="32"/>
          <w:highlight w:val="none"/>
          <w:lang w:val="zh-CN"/>
        </w:rPr>
        <w:t>。</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lang w:val="zh-CN"/>
        </w:rPr>
        <w:t>报价有效期为</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文件递交之日起</w:t>
      </w:r>
      <w:r>
        <w:rPr>
          <w:rFonts w:ascii="仿宋" w:hAnsi="仿宋" w:eastAsia="仿宋" w:cs="仿宋"/>
          <w:sz w:val="32"/>
          <w:szCs w:val="32"/>
          <w:lang w:val="zh-CN"/>
        </w:rPr>
        <w:t>30</w:t>
      </w:r>
      <w:r>
        <w:rPr>
          <w:rFonts w:hint="eastAsia" w:ascii="仿宋" w:hAnsi="仿宋" w:eastAsia="仿宋" w:cs="仿宋"/>
          <w:sz w:val="32"/>
          <w:szCs w:val="32"/>
          <w:lang w:val="en-US" w:eastAsia="zh-CN"/>
        </w:rPr>
        <w:t>个</w:t>
      </w:r>
      <w:r>
        <w:rPr>
          <w:rFonts w:hint="eastAsia" w:ascii="仿宋" w:hAnsi="仿宋" w:eastAsia="仿宋" w:cs="仿宋"/>
          <w:sz w:val="32"/>
          <w:szCs w:val="32"/>
          <w:lang w:val="zh-CN"/>
        </w:rPr>
        <w:t>日历天。</w:t>
      </w:r>
      <w:r>
        <w:rPr>
          <w:rFonts w:hint="eastAsia" w:ascii="仿宋" w:hAnsi="仿宋" w:eastAsia="仿宋" w:cs="仿宋"/>
          <w:sz w:val="32"/>
          <w:szCs w:val="32"/>
        </w:rPr>
        <w:t>在特殊情况下</w:t>
      </w:r>
      <w:r>
        <w:rPr>
          <w:rFonts w:hint="eastAsia" w:ascii="仿宋" w:hAnsi="仿宋" w:eastAsia="仿宋" w:cs="仿宋"/>
          <w:sz w:val="32"/>
          <w:szCs w:val="32"/>
          <w:lang w:val="en-US" w:eastAsia="zh-CN"/>
        </w:rPr>
        <w:t>参选</w:t>
      </w:r>
      <w:r>
        <w:rPr>
          <w:rFonts w:hint="eastAsia" w:ascii="仿宋" w:hAnsi="仿宋" w:eastAsia="仿宋" w:cs="仿宋"/>
          <w:sz w:val="32"/>
          <w:szCs w:val="32"/>
        </w:rPr>
        <w:t>单位于原报价有效期截止之前，可以书面形式（如信件、传真或电报等）向宁夏宁东开发投资有限公司提出延长报价有效期的要求。</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w:t>
      </w:r>
      <w:r>
        <w:rPr>
          <w:rFonts w:hint="eastAsia" w:ascii="楷体" w:hAnsi="楷体" w:eastAsia="楷体" w:cs="楷体"/>
          <w:b/>
          <w:bCs/>
          <w:sz w:val="32"/>
          <w:szCs w:val="32"/>
          <w:lang w:val="zh-CN"/>
        </w:rPr>
        <w:t>参</w:t>
      </w:r>
      <w:r>
        <w:rPr>
          <w:rFonts w:hint="eastAsia" w:ascii="楷体" w:hAnsi="楷体" w:eastAsia="楷体" w:cs="楷体"/>
          <w:b/>
          <w:bCs/>
          <w:sz w:val="32"/>
          <w:szCs w:val="32"/>
          <w:lang w:val="en-US" w:eastAsia="zh-CN"/>
        </w:rPr>
        <w:t>选</w:t>
      </w:r>
      <w:r>
        <w:rPr>
          <w:rFonts w:hint="eastAsia" w:ascii="楷体" w:hAnsi="楷体" w:eastAsia="楷体" w:cs="楷体"/>
          <w:b/>
          <w:bCs/>
          <w:sz w:val="32"/>
          <w:szCs w:val="32"/>
          <w:lang w:val="zh-CN"/>
        </w:rPr>
        <w:t>文件规范</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highlight w:val="yellow"/>
          <w:lang w:val="zh-CN"/>
        </w:rPr>
      </w:pPr>
      <w:bookmarkStart w:id="0" w:name="page6"/>
      <w:bookmarkEnd w:id="0"/>
      <w:r>
        <w:rPr>
          <w:rFonts w:ascii="仿宋" w:hAnsi="仿宋" w:eastAsia="仿宋" w:cs="仿宋"/>
          <w:sz w:val="32"/>
          <w:szCs w:val="32"/>
          <w:lang w:val="zh-CN"/>
        </w:rPr>
        <w:t>1.</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单位应按照比选文件的要求准备</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文件一式</w:t>
      </w:r>
      <w:r>
        <w:rPr>
          <w:rFonts w:hint="eastAsia" w:ascii="仿宋" w:hAnsi="仿宋" w:eastAsia="仿宋" w:cs="仿宋"/>
          <w:sz w:val="32"/>
          <w:szCs w:val="32"/>
        </w:rPr>
        <w:t>贰</w:t>
      </w:r>
      <w:r>
        <w:rPr>
          <w:rFonts w:hint="eastAsia" w:ascii="仿宋" w:hAnsi="仿宋" w:eastAsia="仿宋" w:cs="仿宋"/>
          <w:sz w:val="32"/>
          <w:szCs w:val="32"/>
          <w:lang w:val="zh-CN"/>
        </w:rPr>
        <w:t>份，其中正本</w:t>
      </w:r>
      <w:r>
        <w:rPr>
          <w:rFonts w:ascii="仿宋" w:hAnsi="仿宋" w:eastAsia="仿宋" w:cs="仿宋"/>
          <w:sz w:val="32"/>
          <w:szCs w:val="32"/>
          <w:lang w:val="zh-CN"/>
        </w:rPr>
        <w:t>1</w:t>
      </w:r>
      <w:r>
        <w:rPr>
          <w:rFonts w:hint="eastAsia" w:ascii="仿宋" w:hAnsi="仿宋" w:eastAsia="仿宋" w:cs="仿宋"/>
          <w:sz w:val="32"/>
          <w:szCs w:val="32"/>
          <w:lang w:val="zh-CN"/>
        </w:rPr>
        <w:t>份、副本</w:t>
      </w:r>
      <w:r>
        <w:rPr>
          <w:rFonts w:ascii="仿宋" w:hAnsi="仿宋" w:eastAsia="仿宋" w:cs="仿宋"/>
          <w:sz w:val="32"/>
          <w:szCs w:val="32"/>
          <w:lang w:val="zh-CN"/>
        </w:rPr>
        <w:t>1</w:t>
      </w:r>
      <w:r>
        <w:rPr>
          <w:rFonts w:hint="eastAsia" w:ascii="仿宋" w:hAnsi="仿宋" w:eastAsia="仿宋" w:cs="仿宋"/>
          <w:sz w:val="32"/>
          <w:szCs w:val="32"/>
          <w:lang w:val="zh-CN"/>
        </w:rPr>
        <w:t>份</w:t>
      </w:r>
      <w:r>
        <w:rPr>
          <w:rFonts w:hint="eastAsia" w:ascii="仿宋" w:hAnsi="仿宋" w:eastAsia="仿宋" w:cs="仿宋"/>
          <w:sz w:val="32"/>
          <w:szCs w:val="32"/>
        </w:rPr>
        <w:t>，</w:t>
      </w:r>
      <w:r>
        <w:rPr>
          <w:rFonts w:hint="eastAsia" w:ascii="仿宋" w:hAnsi="仿宋" w:eastAsia="仿宋" w:cs="仿宋"/>
          <w:sz w:val="32"/>
          <w:szCs w:val="32"/>
          <w:lang w:val="zh-CN"/>
        </w:rPr>
        <w:t>封面上标注“正本”、“副本”字样。</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文件均需打印</w:t>
      </w:r>
      <w:r>
        <w:rPr>
          <w:rFonts w:hint="eastAsia" w:ascii="仿宋" w:hAnsi="仿宋" w:eastAsia="仿宋" w:cs="仿宋"/>
          <w:sz w:val="32"/>
          <w:szCs w:val="32"/>
          <w:lang w:val="en-US" w:eastAsia="zh-CN"/>
        </w:rPr>
        <w:t>并</w:t>
      </w:r>
      <w:r>
        <w:rPr>
          <w:rFonts w:hint="eastAsia" w:ascii="仿宋" w:hAnsi="仿宋" w:eastAsia="仿宋" w:cs="仿宋"/>
          <w:sz w:val="32"/>
          <w:szCs w:val="32"/>
          <w:lang w:val="zh-CN"/>
        </w:rPr>
        <w:t>胶装成册，由</w:t>
      </w:r>
      <w:r>
        <w:rPr>
          <w:rFonts w:hint="eastAsia" w:ascii="仿宋" w:hAnsi="仿宋" w:eastAsia="仿宋" w:cs="仿宋"/>
          <w:sz w:val="32"/>
          <w:szCs w:val="32"/>
          <w:lang w:val="en-US" w:eastAsia="zh-CN"/>
        </w:rPr>
        <w:t>参选</w:t>
      </w:r>
      <w:r>
        <w:rPr>
          <w:rFonts w:hint="eastAsia" w:ascii="仿宋" w:hAnsi="仿宋" w:eastAsia="仿宋" w:cs="仿宋"/>
          <w:sz w:val="32"/>
          <w:szCs w:val="32"/>
        </w:rPr>
        <w:t>单位</w:t>
      </w:r>
      <w:r>
        <w:rPr>
          <w:rFonts w:hint="eastAsia" w:ascii="仿宋" w:hAnsi="仿宋" w:eastAsia="仿宋" w:cs="仿宋"/>
          <w:sz w:val="32"/>
          <w:szCs w:val="32"/>
          <w:lang w:val="zh-CN"/>
        </w:rPr>
        <w:t>的法定代表人或其授权委托代理人签字，并加盖单位公章和骑缝章。</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ascii="仿宋" w:hAnsi="仿宋" w:eastAsia="仿宋" w:cs="仿宋"/>
          <w:sz w:val="32"/>
          <w:szCs w:val="32"/>
          <w:lang w:val="zh-CN"/>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lang w:val="zh-CN"/>
        </w:rPr>
        <w:t>必须将法定代表人签字并盖章后的“</w:t>
      </w:r>
      <w:r>
        <w:rPr>
          <w:rFonts w:hint="eastAsia" w:ascii="仿宋" w:hAnsi="仿宋" w:eastAsia="仿宋" w:cs="仿宋"/>
          <w:sz w:val="32"/>
          <w:szCs w:val="32"/>
          <w:lang w:val="en-US" w:eastAsia="zh-CN"/>
        </w:rPr>
        <w:t>授权委托书</w:t>
      </w:r>
      <w:r>
        <w:rPr>
          <w:rFonts w:hint="eastAsia" w:ascii="仿宋" w:hAnsi="仿宋" w:eastAsia="仿宋" w:cs="仿宋"/>
          <w:sz w:val="32"/>
          <w:szCs w:val="32"/>
          <w:lang w:val="zh-CN"/>
        </w:rPr>
        <w:t>”附在</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文件中。</w:t>
      </w:r>
    </w:p>
    <w:p>
      <w:pPr>
        <w:spacing w:line="560" w:lineRule="exact"/>
        <w:ind w:firstLine="643" w:firstLineChars="200"/>
        <w:contextualSpacing/>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w:t>
      </w:r>
      <w:r>
        <w:rPr>
          <w:rFonts w:hint="eastAsia" w:ascii="楷体" w:hAnsi="楷体" w:eastAsia="楷体" w:cs="楷体"/>
          <w:b/>
          <w:bCs/>
          <w:sz w:val="32"/>
          <w:szCs w:val="32"/>
          <w:lang w:val="zh-CN"/>
        </w:rPr>
        <w:t>参选文件的密封和递交</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参选单位应将其参选文件进行密封，在封面及密封袋上注明比选项目名称</w:t>
      </w:r>
      <w:r>
        <w:rPr>
          <w:rFonts w:hint="eastAsia" w:ascii="仿宋" w:hAnsi="仿宋" w:eastAsia="仿宋" w:cs="仿宋"/>
          <w:sz w:val="32"/>
          <w:szCs w:val="32"/>
          <w:lang w:eastAsia="zh-CN"/>
        </w:rPr>
        <w:t>、</w:t>
      </w:r>
      <w:r>
        <w:rPr>
          <w:rFonts w:hint="eastAsia" w:ascii="仿宋" w:hAnsi="仿宋" w:eastAsia="仿宋" w:cs="仿宋"/>
          <w:sz w:val="32"/>
          <w:szCs w:val="32"/>
        </w:rPr>
        <w:t>参选单位的名称、地址，并加盖单位公章和密封章。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76"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76" w:lineRule="exact"/>
        <w:ind w:firstLine="640" w:firstLineChars="200"/>
        <w:contextualSpacing/>
        <w:rPr>
          <w:rFonts w:ascii="仿宋_GB2312" w:hAnsi="仿宋" w:eastAsia="仿宋_GB2312" w:cs="宋体"/>
          <w:sz w:val="32"/>
          <w:szCs w:val="32"/>
        </w:rPr>
      </w:pPr>
      <w:r>
        <w:rPr>
          <w:rFonts w:hint="eastAsia" w:ascii="黑体" w:hAnsi="黑体" w:eastAsia="黑体"/>
          <w:sz w:val="32"/>
          <w:szCs w:val="32"/>
        </w:rPr>
        <w:t>五、比选程序</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（二）介绍比选</w:t>
      </w:r>
      <w:r>
        <w:rPr>
          <w:rFonts w:hint="eastAsia" w:ascii="仿宋" w:hAnsi="仿宋" w:eastAsia="仿宋" w:cs="仿宋"/>
          <w:sz w:val="32"/>
          <w:szCs w:val="32"/>
        </w:rPr>
        <w:t>项目基本情况</w:t>
      </w:r>
      <w:r>
        <w:rPr>
          <w:rFonts w:hint="eastAsia" w:ascii="仿宋" w:hAnsi="仿宋" w:eastAsia="仿宋" w:cs="仿宋"/>
          <w:sz w:val="32"/>
          <w:szCs w:val="32"/>
          <w:lang w:val="zh-CN"/>
        </w:rPr>
        <w:t>并宣读参选单位名单。</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（五）</w:t>
      </w:r>
      <w:r>
        <w:rPr>
          <w:rFonts w:hint="eastAsia" w:ascii="仿宋" w:hAnsi="仿宋" w:eastAsia="仿宋" w:cs="仿宋"/>
          <w:sz w:val="32"/>
          <w:szCs w:val="32"/>
        </w:rPr>
        <w:t>按照参选文件递交顺序，主持人</w:t>
      </w:r>
      <w:r>
        <w:rPr>
          <w:rFonts w:hint="eastAsia" w:ascii="仿宋" w:hAnsi="仿宋" w:eastAsia="仿宋" w:cs="仿宋"/>
          <w:sz w:val="32"/>
          <w:szCs w:val="32"/>
          <w:lang w:val="zh-CN"/>
        </w:rPr>
        <w:t>向评审委员会进行参选单位的报价宣读。</w:t>
      </w:r>
    </w:p>
    <w:p>
      <w:pPr>
        <w:spacing w:line="576" w:lineRule="exact"/>
        <w:ind w:firstLine="640" w:firstLineChars="200"/>
        <w:contextualSpacing/>
        <w:rPr>
          <w:rFonts w:ascii="仿宋" w:hAnsi="仿宋" w:eastAsia="仿宋" w:cs="仿宋"/>
          <w:lang w:val="zh-CN"/>
        </w:rPr>
      </w:pPr>
      <w:r>
        <w:rPr>
          <w:rFonts w:hint="eastAsia" w:ascii="仿宋" w:hAnsi="仿宋" w:eastAsia="仿宋" w:cs="仿宋"/>
          <w:sz w:val="32"/>
          <w:szCs w:val="32"/>
          <w:lang w:val="zh-CN"/>
        </w:rPr>
        <w:t>（六）评审委员会按照比选办法、比选文件评选。</w:t>
      </w:r>
    </w:p>
    <w:p>
      <w:pPr>
        <w:spacing w:line="576" w:lineRule="exact"/>
        <w:ind w:firstLine="640" w:firstLineChars="200"/>
        <w:contextualSpacing/>
        <w:rPr>
          <w:rFonts w:ascii="仿宋" w:hAnsi="仿宋" w:eastAsia="仿宋" w:cs="仿宋"/>
          <w:sz w:val="32"/>
          <w:szCs w:val="32"/>
          <w:lang w:val="zh-CN"/>
        </w:rPr>
      </w:pPr>
      <w:r>
        <w:rPr>
          <w:rFonts w:hint="eastAsia" w:ascii="仿宋" w:hAnsi="仿宋" w:eastAsia="仿宋" w:cs="仿宋"/>
          <w:sz w:val="32"/>
          <w:szCs w:val="32"/>
          <w:lang w:val="zh-CN"/>
        </w:rPr>
        <w:t>（七）评审委员会现场推荐排名第一的中选</w:t>
      </w:r>
      <w:r>
        <w:rPr>
          <w:rFonts w:hint="eastAsia" w:ascii="仿宋" w:hAnsi="仿宋" w:eastAsia="仿宋" w:cs="仿宋"/>
          <w:sz w:val="32"/>
          <w:szCs w:val="32"/>
          <w:lang w:val="en-US" w:eastAsia="zh-CN"/>
        </w:rPr>
        <w:t>候选</w:t>
      </w:r>
      <w:r>
        <w:rPr>
          <w:rFonts w:hint="eastAsia" w:ascii="仿宋" w:hAnsi="仿宋" w:eastAsia="仿宋" w:cs="仿宋"/>
          <w:sz w:val="32"/>
          <w:szCs w:val="32"/>
          <w:lang w:val="zh-CN"/>
        </w:rPr>
        <w:t>人。</w:t>
      </w:r>
    </w:p>
    <w:p>
      <w:pPr>
        <w:spacing w:line="560" w:lineRule="exact"/>
        <w:ind w:firstLine="640" w:firstLineChars="200"/>
        <w:jc w:val="both"/>
        <w:rPr>
          <w:rFonts w:hint="eastAsia" w:ascii="仿宋" w:hAnsi="仿宋" w:eastAsia="仿宋" w:cs="仿宋_GB2312"/>
          <w:sz w:val="32"/>
          <w:szCs w:val="32"/>
        </w:rPr>
      </w:pPr>
      <w:r>
        <w:rPr>
          <w:rFonts w:hint="eastAsia" w:ascii="黑体" w:hAnsi="黑体" w:eastAsia="黑体"/>
          <w:sz w:val="32"/>
          <w:szCs w:val="32"/>
        </w:rPr>
        <w:t>六、评</w:t>
      </w:r>
      <w:r>
        <w:rPr>
          <w:rFonts w:hint="eastAsia" w:ascii="黑体" w:hAnsi="黑体" w:eastAsia="黑体"/>
          <w:sz w:val="32"/>
          <w:szCs w:val="32"/>
          <w:lang w:val="en-US"/>
        </w:rPr>
        <w:t>审</w:t>
      </w:r>
      <w:r>
        <w:rPr>
          <w:rFonts w:hint="eastAsia" w:ascii="黑体" w:hAnsi="黑体" w:eastAsia="黑体"/>
          <w:sz w:val="32"/>
          <w:szCs w:val="32"/>
        </w:rPr>
        <w:t>纪律和注意事项</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 w:hAnsi="仿宋" w:eastAsia="仿宋" w:cs="仿宋"/>
          <w:sz w:val="32"/>
          <w:szCs w:val="32"/>
          <w:lang w:val="en-US" w:eastAsia="zh-CN"/>
        </w:rPr>
        <w:t>评审委员会</w:t>
      </w:r>
      <w:r>
        <w:rPr>
          <w:rFonts w:hint="eastAsia" w:ascii="仿宋" w:hAnsi="仿宋" w:eastAsia="仿宋" w:cs="仿宋"/>
          <w:sz w:val="32"/>
          <w:szCs w:val="32"/>
          <w:lang w:val="zh-CN"/>
        </w:rPr>
        <w:t>评选过程中必须全程保密</w:t>
      </w:r>
      <w:r>
        <w:rPr>
          <w:rFonts w:ascii="仿宋" w:hAnsi="仿宋" w:eastAsia="仿宋" w:cs="仿宋"/>
          <w:sz w:val="32"/>
          <w:szCs w:val="32"/>
          <w:lang w:val="zh-CN"/>
        </w:rPr>
        <w:t>,</w:t>
      </w:r>
      <w:r>
        <w:rPr>
          <w:rFonts w:hint="eastAsia" w:ascii="仿宋" w:hAnsi="仿宋" w:eastAsia="仿宋" w:cs="仿宋"/>
          <w:sz w:val="32"/>
          <w:szCs w:val="32"/>
          <w:lang w:val="zh-CN"/>
        </w:rPr>
        <w:t>任何人不得以任何形式透露给参选单位或与参选单位有关的单位或个人。</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（二）在比选过程中</w:t>
      </w:r>
      <w:r>
        <w:rPr>
          <w:rFonts w:hint="eastAsia" w:ascii="仿宋" w:hAnsi="仿宋" w:eastAsia="仿宋" w:cs="仿宋"/>
          <w:sz w:val="32"/>
          <w:szCs w:val="32"/>
          <w:lang w:val="en-US" w:eastAsia="zh-CN"/>
        </w:rPr>
        <w:t>参选单位</w:t>
      </w:r>
      <w:r>
        <w:rPr>
          <w:rFonts w:hint="eastAsia" w:ascii="仿宋" w:hAnsi="仿宋" w:eastAsia="仿宋" w:cs="仿宋"/>
          <w:sz w:val="32"/>
          <w:szCs w:val="32"/>
          <w:lang w:val="zh-CN"/>
        </w:rPr>
        <w:t>必须根据</w:t>
      </w:r>
      <w:r>
        <w:rPr>
          <w:rFonts w:hint="eastAsia" w:ascii="仿宋" w:hAnsi="仿宋" w:eastAsia="仿宋" w:cs="仿宋"/>
          <w:sz w:val="32"/>
          <w:szCs w:val="32"/>
          <w:lang w:val="en-US" w:eastAsia="zh-CN"/>
        </w:rPr>
        <w:t>评审委员会</w:t>
      </w:r>
      <w:r>
        <w:rPr>
          <w:rFonts w:hint="eastAsia" w:ascii="仿宋" w:hAnsi="仿宋" w:eastAsia="仿宋" w:cs="仿宋"/>
          <w:sz w:val="32"/>
          <w:szCs w:val="32"/>
          <w:lang w:val="zh-CN"/>
        </w:rPr>
        <w:t>要求就有关问题进行澄清或说明。</w:t>
      </w:r>
    </w:p>
    <w:p>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（三）对各参选单位的商业秘密，评审委员会成员应予以保密，不得泄露给其他</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w:t>
      </w:r>
    </w:p>
    <w:p>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七、合同</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中选单位应在中选通知书发出之日起</w:t>
      </w:r>
      <w:r>
        <w:rPr>
          <w:rFonts w:hint="eastAsia" w:ascii="仿宋" w:hAnsi="仿宋" w:eastAsia="仿宋" w:cs="仿宋"/>
          <w:sz w:val="32"/>
          <w:szCs w:val="32"/>
          <w:lang w:val="en-US" w:eastAsia="zh-CN"/>
        </w:rPr>
        <w:t>30</w:t>
      </w:r>
      <w:r>
        <w:rPr>
          <w:rFonts w:hint="eastAsia" w:ascii="仿宋" w:hAnsi="仿宋" w:eastAsia="仿宋" w:cs="仿宋"/>
          <w:sz w:val="32"/>
          <w:szCs w:val="32"/>
        </w:rPr>
        <w:t>个</w:t>
      </w:r>
      <w:r>
        <w:rPr>
          <w:rFonts w:hint="eastAsia" w:ascii="仿宋" w:hAnsi="仿宋" w:eastAsia="仿宋" w:cs="仿宋"/>
          <w:sz w:val="32"/>
          <w:szCs w:val="32"/>
          <w:lang w:val="en-US" w:eastAsia="zh-CN"/>
        </w:rPr>
        <w:t>日历天</w:t>
      </w:r>
      <w:r>
        <w:rPr>
          <w:rFonts w:hint="eastAsia" w:ascii="仿宋" w:hAnsi="仿宋" w:eastAsia="仿宋" w:cs="仿宋"/>
          <w:sz w:val="32"/>
          <w:szCs w:val="32"/>
        </w:rPr>
        <w:t>内与</w:t>
      </w:r>
      <w:r>
        <w:rPr>
          <w:rFonts w:hint="eastAsia" w:ascii="仿宋" w:hAnsi="仿宋" w:eastAsia="仿宋" w:cs="仿宋"/>
          <w:sz w:val="32"/>
          <w:szCs w:val="32"/>
          <w:lang w:val="en-US" w:eastAsia="zh-CN"/>
        </w:rPr>
        <w:t>项目</w:t>
      </w:r>
      <w:r>
        <w:rPr>
          <w:rFonts w:hint="eastAsia" w:ascii="仿宋" w:hAnsi="仿宋" w:eastAsia="仿宋" w:cs="仿宋"/>
          <w:sz w:val="32"/>
          <w:szCs w:val="32"/>
        </w:rPr>
        <w:t>单位签订</w:t>
      </w:r>
      <w:r>
        <w:rPr>
          <w:rFonts w:hint="eastAsia" w:ascii="仿宋" w:hAnsi="仿宋" w:eastAsia="仿宋" w:cs="仿宋"/>
          <w:sz w:val="32"/>
          <w:szCs w:val="32"/>
          <w:lang w:val="en-US" w:eastAsia="zh-CN"/>
        </w:rPr>
        <w:t>宁东基地党群活动中心物业委托运营管理合同</w:t>
      </w:r>
      <w:r>
        <w:rPr>
          <w:rFonts w:hint="eastAsia" w:ascii="仿宋" w:hAnsi="仿宋" w:eastAsia="仿宋" w:cs="仿宋"/>
          <w:sz w:val="32"/>
          <w:szCs w:val="32"/>
        </w:rPr>
        <w:t>，</w:t>
      </w:r>
      <w:r>
        <w:rPr>
          <w:rFonts w:hint="eastAsia" w:ascii="仿宋" w:hAnsi="仿宋" w:eastAsia="仿宋" w:cs="仿宋"/>
          <w:sz w:val="32"/>
          <w:szCs w:val="32"/>
          <w:lang w:val="en-US" w:eastAsia="zh-CN"/>
        </w:rPr>
        <w:t>服务费用据实结算，年服务费用总价不超过125万元。</w:t>
      </w:r>
      <w:r>
        <w:rPr>
          <w:rFonts w:hint="eastAsia" w:ascii="仿宋" w:hAnsi="仿宋" w:eastAsia="仿宋" w:cs="仿宋"/>
          <w:sz w:val="32"/>
          <w:szCs w:val="32"/>
        </w:rPr>
        <w:t>因中选单位原因逾期未签订合同的视为中选单位自动放弃中选。</w:t>
      </w:r>
    </w:p>
    <w:p>
      <w:pPr>
        <w:spacing w:line="560" w:lineRule="exact"/>
        <w:ind w:firstLine="640" w:firstLineChars="200"/>
        <w:rPr>
          <w:rFonts w:ascii="仿宋" w:hAnsi="仿宋" w:eastAsia="仿宋" w:cs="仿宋"/>
          <w:sz w:val="32"/>
          <w:szCs w:val="32"/>
          <w:lang w:val="en-US"/>
        </w:rPr>
      </w:pPr>
    </w:p>
    <w:p>
      <w:pPr>
        <w:pStyle w:val="2"/>
        <w:rPr>
          <w:lang w:val="en-US"/>
        </w:rPr>
      </w:pP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.综合评估法（评分细则）</w:t>
      </w: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.参选文件格式</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keepNext w:val="0"/>
        <w:keepLines w:val="0"/>
        <w:pageBreakBefore w:val="0"/>
        <w:widowControl/>
        <w:kinsoku/>
        <w:wordWrap/>
        <w:overflowPunct/>
        <w:topLinePunct w:val="0"/>
        <w:autoSpaceDE/>
        <w:autoSpaceDN/>
        <w:bidi w:val="0"/>
        <w:adjustRightInd w:val="0"/>
        <w:snapToGrid w:val="0"/>
        <w:spacing w:line="240" w:lineRule="auto"/>
        <w:contextualSpacing/>
        <w:textAlignment w:val="auto"/>
        <w:rPr>
          <w:rFonts w:ascii="仿宋" w:hAnsi="仿宋" w:eastAsia="仿宋" w:cs="仿宋"/>
          <w:sz w:val="32"/>
          <w:szCs w:val="32"/>
          <w:lang w:val="en-US"/>
        </w:rPr>
      </w:pPr>
      <w:r>
        <w:rPr>
          <w:rFonts w:hint="eastAsia" w:ascii="仿宋" w:hAnsi="仿宋" w:eastAsia="仿宋" w:cs="仿宋"/>
          <w:sz w:val="32"/>
          <w:szCs w:val="32"/>
          <w:lang w:val="en-US"/>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.综合评估法（评分细则）</w:t>
      </w:r>
    </w:p>
    <w:tbl>
      <w:tblPr>
        <w:tblStyle w:val="11"/>
        <w:tblpPr w:leftFromText="180" w:rightFromText="180" w:vertAnchor="text" w:horzAnchor="page" w:tblpX="1198" w:tblpY="560"/>
        <w:tblOverlap w:val="never"/>
        <w:tblW w:w="9720" w:type="dxa"/>
        <w:tblInd w:w="0" w:type="dxa"/>
        <w:tblLayout w:type="fixed"/>
        <w:tblCellMar>
          <w:top w:w="0" w:type="dxa"/>
          <w:left w:w="108" w:type="dxa"/>
          <w:bottom w:w="0" w:type="dxa"/>
          <w:right w:w="108" w:type="dxa"/>
        </w:tblCellMar>
      </w:tblPr>
      <w:tblGrid>
        <w:gridCol w:w="2315"/>
        <w:gridCol w:w="1286"/>
        <w:gridCol w:w="6119"/>
      </w:tblGrid>
      <w:tr>
        <w:tblPrEx>
          <w:tblCellMar>
            <w:top w:w="0" w:type="dxa"/>
            <w:left w:w="108" w:type="dxa"/>
            <w:bottom w:w="0" w:type="dxa"/>
            <w:right w:w="108" w:type="dxa"/>
          </w:tblCellMar>
        </w:tblPrEx>
        <w:trPr>
          <w:trHeight w:val="92" w:hRule="atLeast"/>
        </w:trPr>
        <w:tc>
          <w:tcPr>
            <w:tcW w:w="9720"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100" w:lineRule="exact"/>
              <w:jc w:val="both"/>
              <w:textAlignment w:val="bottom"/>
              <w:rPr>
                <w:rFonts w:ascii="方正小标宋简体" w:hAnsi="方正小标宋简体" w:eastAsia="方正小标宋简体" w:cs="方正小标宋简体"/>
                <w:color w:val="000000"/>
                <w:sz w:val="32"/>
                <w:szCs w:val="32"/>
              </w:rPr>
            </w:pPr>
          </w:p>
        </w:tc>
      </w:tr>
      <w:tr>
        <w:tblPrEx>
          <w:tblCellMar>
            <w:top w:w="0" w:type="dxa"/>
            <w:left w:w="108" w:type="dxa"/>
            <w:bottom w:w="0" w:type="dxa"/>
            <w:right w:w="108" w:type="dxa"/>
          </w:tblCellMar>
        </w:tblPrEx>
        <w:trPr>
          <w:trHeight w:val="364"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评审因素</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分值</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评分标准</w:t>
            </w:r>
          </w:p>
        </w:tc>
      </w:tr>
      <w:tr>
        <w:tblPrEx>
          <w:tblCellMar>
            <w:top w:w="0" w:type="dxa"/>
            <w:left w:w="108" w:type="dxa"/>
            <w:bottom w:w="0" w:type="dxa"/>
            <w:right w:w="108" w:type="dxa"/>
          </w:tblCellMar>
        </w:tblPrEx>
        <w:trPr>
          <w:trHeight w:val="751"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cs="宋体"/>
                <w:color w:val="000000"/>
                <w:sz w:val="20"/>
                <w:szCs w:val="20"/>
              </w:rPr>
              <w:t>参选报价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cs="宋体"/>
                <w:color w:val="000000"/>
                <w:sz w:val="20"/>
                <w:szCs w:val="20"/>
              </w:rPr>
              <w:t>10分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cs="宋体"/>
                <w:color w:val="000000"/>
                <w:sz w:val="20"/>
                <w:szCs w:val="20"/>
                <w:highlight w:val="none"/>
              </w:rPr>
              <w:t>基于合理的服务管理方案，</w:t>
            </w:r>
            <w:r>
              <w:rPr>
                <w:rFonts w:hint="eastAsia" w:ascii="宋体" w:hAnsi="宋体" w:cs="宋体"/>
                <w:color w:val="000000"/>
                <w:sz w:val="20"/>
                <w:szCs w:val="20"/>
                <w:highlight w:val="none"/>
                <w:lang w:val="en-US" w:eastAsia="zh-CN"/>
              </w:rPr>
              <w:t>除参选报价与管理服务方案不相匹配</w:t>
            </w:r>
            <w:r>
              <w:rPr>
                <w:rFonts w:hint="eastAsia" w:ascii="宋体" w:hAnsi="宋体" w:cs="宋体"/>
                <w:color w:val="000000"/>
                <w:sz w:val="20"/>
                <w:szCs w:val="20"/>
                <w:highlight w:val="none"/>
              </w:rPr>
              <w:t>又不能做出合理解释的</w:t>
            </w:r>
            <w:r>
              <w:rPr>
                <w:rFonts w:hint="eastAsia" w:ascii="宋体" w:hAnsi="宋体" w:cs="宋体"/>
                <w:color w:val="000000"/>
                <w:sz w:val="20"/>
                <w:szCs w:val="20"/>
                <w:highlight w:val="none"/>
                <w:lang w:val="en-US" w:eastAsia="zh-CN"/>
              </w:rPr>
              <w:t>外，</w:t>
            </w:r>
            <w:r>
              <w:rPr>
                <w:rFonts w:hint="eastAsia" w:ascii="宋体" w:hAnsi="宋体" w:cs="宋体"/>
                <w:color w:val="000000"/>
                <w:sz w:val="20"/>
                <w:szCs w:val="20"/>
                <w:highlight w:val="none"/>
              </w:rPr>
              <w:t>满足比选文件要求且参选价格最低的报价为评选基准价，其参选报</w:t>
            </w:r>
            <w:r>
              <w:rPr>
                <w:rFonts w:hint="eastAsia" w:ascii="宋体" w:hAnsi="宋体" w:cs="宋体"/>
                <w:color w:val="000000"/>
                <w:sz w:val="20"/>
                <w:szCs w:val="20"/>
              </w:rPr>
              <w:t>价得满分10分，其他参选单位的报价得分按下列公式计算：参选报价得分=(评选基准价/参选报价)×10。</w:t>
            </w:r>
          </w:p>
        </w:tc>
      </w:tr>
      <w:tr>
        <w:tblPrEx>
          <w:tblCellMar>
            <w:top w:w="0" w:type="dxa"/>
            <w:left w:w="108" w:type="dxa"/>
            <w:bottom w:w="0" w:type="dxa"/>
            <w:right w:w="108" w:type="dxa"/>
          </w:tblCellMar>
        </w:tblPrEx>
        <w:trPr>
          <w:trHeight w:val="751"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企业实力</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5分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提供：ISO质量管理体系认证、ISO职业健康安全管理体系认证、ISO环境管理体系认证，提供的证件均在有效期内的，每有一项得1分，证件齐全得5分。</w:t>
            </w:r>
          </w:p>
        </w:tc>
      </w:tr>
      <w:tr>
        <w:tblPrEx>
          <w:tblCellMar>
            <w:top w:w="0" w:type="dxa"/>
            <w:left w:w="108" w:type="dxa"/>
            <w:bottom w:w="0" w:type="dxa"/>
            <w:right w:w="108" w:type="dxa"/>
          </w:tblCellMar>
        </w:tblPrEx>
        <w:trPr>
          <w:trHeight w:val="934"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企业业绩</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根据投标人2020年1月至今（以签订合同时间为准），已完成或正在履行的非住宅物业项目业绩，有一项得 5 分，总分不超过1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r>
              <w:rPr>
                <w:rFonts w:hint="eastAsia" w:ascii="宋体" w:hAnsi="宋体" w:cs="宋体"/>
                <w:color w:val="000000"/>
                <w:sz w:val="20"/>
                <w:szCs w:val="20"/>
                <w:lang w:val="en-US" w:eastAsia="zh-CN"/>
              </w:rPr>
              <w:t>参选</w:t>
            </w:r>
            <w:r>
              <w:rPr>
                <w:rFonts w:hint="eastAsia" w:ascii="宋体" w:hAnsi="宋体" w:cs="宋体"/>
                <w:color w:val="000000"/>
                <w:sz w:val="20"/>
                <w:szCs w:val="20"/>
              </w:rPr>
              <w:t>文件中</w:t>
            </w:r>
            <w:r>
              <w:rPr>
                <w:rFonts w:hint="eastAsia" w:ascii="宋体" w:hAnsi="宋体" w:cs="宋体"/>
                <w:color w:val="000000"/>
                <w:sz w:val="20"/>
                <w:szCs w:val="20"/>
                <w:lang w:val="en-US" w:eastAsia="zh-CN"/>
              </w:rPr>
              <w:t>应</w:t>
            </w:r>
            <w:r>
              <w:rPr>
                <w:rFonts w:hint="eastAsia" w:ascii="宋体" w:hAnsi="宋体" w:cs="宋体"/>
                <w:color w:val="000000"/>
                <w:sz w:val="20"/>
                <w:szCs w:val="20"/>
              </w:rPr>
              <w:t>提供中标通知书及合同复印件或扫描件</w:t>
            </w:r>
            <w:r>
              <w:rPr>
                <w:rFonts w:hint="eastAsia" w:ascii="宋体" w:hAnsi="宋体" w:cs="宋体"/>
                <w:color w:val="000000"/>
                <w:sz w:val="20"/>
                <w:szCs w:val="20"/>
                <w:lang w:eastAsia="zh-CN"/>
              </w:rPr>
              <w:t>，</w:t>
            </w:r>
            <w:r>
              <w:rPr>
                <w:rFonts w:hint="eastAsia" w:ascii="宋体" w:hAnsi="宋体" w:cs="宋体"/>
                <w:color w:val="000000"/>
                <w:sz w:val="20"/>
                <w:szCs w:val="20"/>
              </w:rPr>
              <w:t>并加盖公章</w:t>
            </w:r>
            <w:r>
              <w:rPr>
                <w:rFonts w:hint="eastAsia" w:ascii="宋体" w:hAnsi="宋体" w:cs="宋体"/>
                <w:color w:val="000000"/>
                <w:sz w:val="20"/>
                <w:szCs w:val="20"/>
                <w:lang w:val="en-US" w:eastAsia="zh-CN"/>
              </w:rPr>
              <w:t>。业绩复印件不清晰、未加盖公章的</w:t>
            </w:r>
            <w:r>
              <w:rPr>
                <w:rFonts w:hint="eastAsia" w:ascii="宋体" w:hAnsi="宋体" w:cs="宋体"/>
                <w:color w:val="000000"/>
                <w:sz w:val="20"/>
                <w:szCs w:val="20"/>
              </w:rPr>
              <w:t>不得分。</w:t>
            </w:r>
          </w:p>
        </w:tc>
      </w:tr>
      <w:tr>
        <w:tblPrEx>
          <w:tblCellMar>
            <w:top w:w="0" w:type="dxa"/>
            <w:left w:w="108" w:type="dxa"/>
            <w:bottom w:w="0" w:type="dxa"/>
            <w:right w:w="108" w:type="dxa"/>
          </w:tblCellMar>
        </w:tblPrEx>
        <w:trPr>
          <w:trHeight w:val="1052"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服务整体构想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服务整体构想的内容包括但不限于管理思路、提出管理服务定位、管理服务目标、管理服务理念等。根据以上内容，管理思路清晰，物业管理相关服务目标承诺齐全得5-1</w:t>
            </w:r>
            <w:r>
              <w:rPr>
                <w:rFonts w:hint="eastAsia" w:ascii="宋体" w:hAnsi="宋体" w:cs="宋体"/>
                <w:color w:val="000000"/>
                <w:sz w:val="20"/>
                <w:szCs w:val="20"/>
                <w:lang w:val="en-US" w:eastAsia="zh-CN"/>
              </w:rPr>
              <w:t>0</w:t>
            </w:r>
            <w:r>
              <w:rPr>
                <w:rFonts w:hint="eastAsia" w:ascii="宋体" w:hAnsi="宋体" w:cs="宋体"/>
                <w:color w:val="000000"/>
                <w:sz w:val="20"/>
                <w:szCs w:val="20"/>
              </w:rPr>
              <w:t>分；有管理思路和承诺、但不完备的得1-5分；未提供不得分。</w:t>
            </w:r>
          </w:p>
        </w:tc>
      </w:tr>
      <w:tr>
        <w:tblPrEx>
          <w:tblCellMar>
            <w:top w:w="0" w:type="dxa"/>
            <w:left w:w="108" w:type="dxa"/>
            <w:bottom w:w="0" w:type="dxa"/>
            <w:right w:w="108" w:type="dxa"/>
          </w:tblCellMar>
        </w:tblPrEx>
        <w:trPr>
          <w:trHeight w:val="1137"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工程设施设备维修维护服务方案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楼宇日常养护、设备运行管理、设备的节能降耗等。提供的管理方案全面、合理、科学、可行，有设备运行维保计划及保养标准，有各类设施设备运行管理方案，设备经营体现节能降耗，根据内容完整情况，方案完整合理得8-</w:t>
            </w:r>
            <w:r>
              <w:rPr>
                <w:rFonts w:hint="eastAsia" w:ascii="宋体" w:hAnsi="宋体" w:cs="宋体"/>
                <w:color w:val="000000"/>
                <w:sz w:val="20"/>
                <w:szCs w:val="20"/>
                <w:lang w:val="en-US" w:eastAsia="zh-CN"/>
              </w:rPr>
              <w:t>15</w:t>
            </w:r>
            <w:r>
              <w:rPr>
                <w:rFonts w:hint="eastAsia" w:ascii="宋体" w:hAnsi="宋体" w:cs="宋体"/>
                <w:color w:val="000000"/>
                <w:sz w:val="20"/>
                <w:szCs w:val="20"/>
              </w:rPr>
              <w:t>分，方案基本满足采购需求的得4-7分；有方案，但不完备得1-3分；未提供不得分。</w:t>
            </w:r>
          </w:p>
        </w:tc>
      </w:tr>
      <w:tr>
        <w:tblPrEx>
          <w:tblCellMar>
            <w:top w:w="0" w:type="dxa"/>
            <w:left w:w="108" w:type="dxa"/>
            <w:bottom w:w="0" w:type="dxa"/>
            <w:right w:w="108" w:type="dxa"/>
          </w:tblCellMar>
        </w:tblPrEx>
        <w:trPr>
          <w:trHeight w:val="1305"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环境维护服务方案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保洁范围、卫生管理、作业程序、清洁用品使用程序等。根据以上内容方案提供的保洁服务管理方案全面合理科学，可行性强，有工作流程、标准及服务质量考核，并且提供完善的清洁消毒方案。保洁方案符合采购人实际情况，全面、合理、详细、适用性强，能充分符合要求的得8-1</w:t>
            </w:r>
            <w:r>
              <w:rPr>
                <w:rFonts w:hint="eastAsia" w:ascii="宋体" w:hAnsi="宋体" w:cs="宋体"/>
                <w:color w:val="000000"/>
                <w:sz w:val="20"/>
                <w:szCs w:val="20"/>
                <w:lang w:val="en-US" w:eastAsia="zh-CN"/>
              </w:rPr>
              <w:t>5</w:t>
            </w:r>
            <w:r>
              <w:rPr>
                <w:rFonts w:hint="eastAsia" w:ascii="宋体" w:hAnsi="宋体" w:cs="宋体"/>
                <w:color w:val="000000"/>
                <w:sz w:val="20"/>
                <w:szCs w:val="20"/>
              </w:rPr>
              <w:t>分；方案全面、有可操作性，大致符合采购人情况的得4-7分；有保洁服务方案，但不完备得1-3分；未提供不得分。</w:t>
            </w:r>
          </w:p>
        </w:tc>
      </w:tr>
      <w:tr>
        <w:tblPrEx>
          <w:tblCellMar>
            <w:top w:w="0" w:type="dxa"/>
            <w:left w:w="108" w:type="dxa"/>
            <w:bottom w:w="0" w:type="dxa"/>
            <w:right w:w="108" w:type="dxa"/>
          </w:tblCellMar>
        </w:tblPrEx>
        <w:trPr>
          <w:trHeight w:val="1862"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highlight w:val="none"/>
              </w:rPr>
              <w:t>人员配置要求及人员培训、行为规范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15分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1.人员配置内容包括但不限于岗位、人数、配置</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人员更换计划</w:t>
            </w:r>
            <w:r>
              <w:rPr>
                <w:rFonts w:hint="eastAsia" w:ascii="宋体" w:hAnsi="宋体" w:cs="宋体"/>
                <w:color w:val="000000"/>
                <w:sz w:val="20"/>
                <w:szCs w:val="20"/>
              </w:rPr>
              <w:t>等内容。为保证服务质量，契合服务内容，如人员配置中包含维修、消防等专业技术岗位，需提供相应资格证书复印件或扫描件及202</w:t>
            </w:r>
            <w:r>
              <w:rPr>
                <w:rFonts w:hint="eastAsia" w:ascii="宋体" w:hAnsi="宋体" w:cs="宋体"/>
                <w:color w:val="000000"/>
                <w:sz w:val="20"/>
                <w:szCs w:val="20"/>
                <w:lang w:val="en-US" w:eastAsia="zh-CN"/>
              </w:rPr>
              <w:t>3</w:t>
            </w:r>
            <w:r>
              <w:rPr>
                <w:rFonts w:hint="eastAsia" w:ascii="宋体" w:hAnsi="宋体" w:cs="宋体"/>
                <w:color w:val="000000"/>
                <w:sz w:val="20"/>
                <w:szCs w:val="20"/>
              </w:rPr>
              <w:t>年以来任意3个月社保缴纳凭证</w:t>
            </w:r>
            <w:r>
              <w:rPr>
                <w:rFonts w:hint="eastAsia" w:ascii="宋体" w:hAnsi="宋体" w:cs="宋体"/>
                <w:color w:val="000000"/>
                <w:sz w:val="20"/>
                <w:szCs w:val="20"/>
                <w:lang w:eastAsia="zh-CN"/>
              </w:rPr>
              <w:t>，</w:t>
            </w:r>
            <w:r>
              <w:rPr>
                <w:rFonts w:hint="eastAsia" w:ascii="宋体" w:hAnsi="宋体" w:cs="宋体"/>
                <w:color w:val="000000"/>
                <w:sz w:val="20"/>
                <w:szCs w:val="20"/>
              </w:rPr>
              <w:t>并加盖公章。满足需求的得1-10分，未提供</w:t>
            </w:r>
            <w:r>
              <w:rPr>
                <w:rFonts w:hint="eastAsia" w:ascii="宋体" w:hAnsi="宋体" w:cs="宋体"/>
                <w:color w:val="000000"/>
                <w:sz w:val="20"/>
                <w:szCs w:val="20"/>
                <w:lang w:val="en-US" w:eastAsia="zh-CN"/>
              </w:rPr>
              <w:t>人员配置方案的</w:t>
            </w:r>
            <w:r>
              <w:rPr>
                <w:rFonts w:hint="eastAsia" w:ascii="宋体" w:hAnsi="宋体" w:cs="宋体"/>
                <w:color w:val="000000"/>
                <w:sz w:val="20"/>
                <w:szCs w:val="20"/>
              </w:rPr>
              <w:t>不得分。</w:t>
            </w:r>
            <w:r>
              <w:rPr>
                <w:rFonts w:hint="eastAsia" w:ascii="宋体" w:hAnsi="宋体" w:cs="宋体"/>
                <w:color w:val="000000"/>
                <w:sz w:val="20"/>
                <w:szCs w:val="20"/>
              </w:rPr>
              <w:br w:type="textWrapping"/>
            </w:r>
            <w:r>
              <w:rPr>
                <w:rFonts w:hint="eastAsia" w:ascii="宋体" w:hAnsi="宋体" w:cs="宋体"/>
                <w:color w:val="000000"/>
                <w:sz w:val="20"/>
                <w:szCs w:val="20"/>
              </w:rPr>
              <w:t>2.人员培训内容包括但不限于培训方式、培训计划、培训效果评估等。行为规范内容包括但不限于工作纪律、工作态度、仪容仪表、工作态度、工作职责</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违规处罚</w:t>
            </w:r>
            <w:r>
              <w:rPr>
                <w:rFonts w:hint="eastAsia" w:ascii="宋体" w:hAnsi="宋体" w:cs="宋体"/>
                <w:color w:val="000000"/>
                <w:sz w:val="20"/>
                <w:szCs w:val="20"/>
              </w:rPr>
              <w:t>等。与采购需求高度契合、服务人员行为规范、培训计划和内容制定全面具体，可操作性强得1-5分，未提供不得分。</w:t>
            </w:r>
          </w:p>
        </w:tc>
      </w:tr>
      <w:tr>
        <w:tblPrEx>
          <w:tblCellMar>
            <w:top w:w="0" w:type="dxa"/>
            <w:left w:w="108" w:type="dxa"/>
            <w:bottom w:w="0" w:type="dxa"/>
            <w:right w:w="108" w:type="dxa"/>
          </w:tblCellMar>
        </w:tblPrEx>
        <w:trPr>
          <w:trHeight w:val="941"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管理制度及应急预案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管理制度内容包括但不限于服务管理制度、管理机制、考核机制等。有档案建立与管理方案。应急预案内容包括但不限于责任分工、紧急情况应对流程、各类预防措施等。根据以上内容，提供的方案科学合理、日常管理和服务过程中规范、内容详实得5-10分；基本完善得1-5分；未提供不得分。</w:t>
            </w:r>
          </w:p>
        </w:tc>
      </w:tr>
    </w:tbl>
    <w:p>
      <w:pPr>
        <w:spacing w:line="240" w:lineRule="auto"/>
        <w:jc w:val="both"/>
        <w:rPr>
          <w:rFonts w:hint="eastAsia" w:ascii="仿宋" w:hAnsi="仿宋" w:eastAsia="仿宋" w:cs="仿宋_GB2312"/>
          <w:bCs/>
          <w:sz w:val="32"/>
          <w:szCs w:val="32"/>
        </w:rPr>
      </w:pPr>
    </w:p>
    <w:p>
      <w:pPr>
        <w:spacing w:line="520" w:lineRule="exact"/>
        <w:jc w:val="both"/>
        <w:rPr>
          <w:rFonts w:ascii="仿宋" w:hAnsi="仿宋" w:eastAsia="仿宋" w:cs="仿宋_GB2312"/>
          <w:bCs/>
          <w:sz w:val="32"/>
          <w:szCs w:val="32"/>
        </w:rPr>
      </w:pPr>
      <w:r>
        <w:rPr>
          <w:rFonts w:hint="eastAsia" w:ascii="仿宋" w:hAnsi="仿宋" w:eastAsia="仿宋" w:cs="仿宋_GB2312"/>
          <w:bCs/>
          <w:sz w:val="32"/>
          <w:szCs w:val="32"/>
        </w:rPr>
        <w:t>附件</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w:t>
      </w:r>
    </w:p>
    <w:p/>
    <w:p>
      <w:pPr>
        <w:jc w:val="center"/>
        <w:rPr>
          <w:rFonts w:ascii="方正小标宋简体" w:hAnsi="方正小标宋简体" w:eastAsia="方正小标宋简体" w:cs="方正小标宋简体"/>
          <w:color w:val="000000"/>
          <w:sz w:val="44"/>
          <w:szCs w:val="44"/>
          <w:lang w:val="en-U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val="en-US"/>
        </w:rPr>
        <w:t>参选单位</w:t>
      </w:r>
      <w:r>
        <w:rPr>
          <w:rFonts w:hint="eastAsia" w:ascii="仿宋" w:hAnsi="仿宋" w:eastAsia="仿宋" w:cs="仿宋"/>
          <w:sz w:val="32"/>
          <w:szCs w:val="32"/>
        </w:rPr>
        <w:t>在</w:t>
      </w:r>
      <w:r>
        <w:rPr>
          <w:rFonts w:hint="eastAsia" w:ascii="仿宋" w:hAnsi="仿宋" w:eastAsia="仿宋" w:cs="仿宋"/>
          <w:sz w:val="32"/>
          <w:szCs w:val="32"/>
          <w:lang w:val="en-US"/>
        </w:rPr>
        <w:t>参选</w:t>
      </w:r>
      <w:r>
        <w:rPr>
          <w:rFonts w:hint="eastAsia" w:ascii="仿宋" w:hAnsi="仿宋" w:eastAsia="仿宋" w:cs="仿宋"/>
          <w:sz w:val="32"/>
          <w:szCs w:val="32"/>
        </w:rPr>
        <w:t>文件中标注各项页码）</w:t>
      </w:r>
    </w:p>
    <w:p>
      <w:pPr>
        <w:spacing w:line="560" w:lineRule="exact"/>
        <w:ind w:firstLine="640" w:firstLineChars="200"/>
        <w:rPr>
          <w:rFonts w:hint="eastAsia" w:ascii="仿宋" w:hAnsi="仿宋" w:eastAsia="仿宋" w:cs="仿宋"/>
          <w:sz w:val="32"/>
          <w:szCs w:val="32"/>
        </w:rPr>
      </w:pPr>
      <w:bookmarkStart w:id="1" w:name="_Toc14888"/>
      <w:bookmarkStart w:id="2" w:name="_Toc17110"/>
      <w:bookmarkStart w:id="3" w:name="_Toc7486"/>
      <w:bookmarkStart w:id="4" w:name="_Toc14841"/>
      <w:r>
        <w:rPr>
          <w:rFonts w:hint="eastAsia" w:ascii="仿宋" w:hAnsi="仿宋" w:eastAsia="仿宋" w:cs="仿宋"/>
          <w:sz w:val="32"/>
          <w:szCs w:val="32"/>
        </w:rPr>
        <w:t>一、报价函</w:t>
      </w:r>
      <w:bookmarkEnd w:id="1"/>
      <w:bookmarkEnd w:id="2"/>
      <w:bookmarkEnd w:id="3"/>
      <w:bookmarkEnd w:id="4"/>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评分细则</w:t>
      </w:r>
    </w:p>
    <w:p>
      <w:pPr>
        <w:spacing w:line="560" w:lineRule="exact"/>
        <w:ind w:firstLine="640" w:firstLineChars="200"/>
        <w:rPr>
          <w:rFonts w:hint="eastAsia" w:ascii="仿宋" w:hAnsi="仿宋" w:eastAsia="仿宋" w:cs="仿宋"/>
          <w:sz w:val="32"/>
          <w:szCs w:val="32"/>
        </w:rPr>
      </w:pPr>
      <w:bookmarkStart w:id="5" w:name="_Toc14165"/>
      <w:bookmarkStart w:id="6" w:name="_Toc19741"/>
      <w:bookmarkStart w:id="7" w:name="_Toc27267"/>
      <w:bookmarkStart w:id="8" w:name="_Toc25034"/>
      <w:r>
        <w:rPr>
          <w:rFonts w:hint="eastAsia" w:ascii="仿宋" w:hAnsi="仿宋" w:eastAsia="仿宋" w:cs="仿宋"/>
          <w:sz w:val="32"/>
          <w:szCs w:val="32"/>
        </w:rPr>
        <w:t>三、授权委托书</w:t>
      </w:r>
      <w:bookmarkEnd w:id="5"/>
    </w:p>
    <w:p>
      <w:pPr>
        <w:spacing w:line="560" w:lineRule="exact"/>
        <w:ind w:firstLine="640" w:firstLineChars="200"/>
        <w:rPr>
          <w:rFonts w:hint="eastAsia" w:ascii="仿宋" w:hAnsi="仿宋" w:eastAsia="仿宋" w:cs="仿宋"/>
          <w:sz w:val="32"/>
          <w:szCs w:val="32"/>
        </w:rPr>
      </w:pPr>
      <w:bookmarkStart w:id="9" w:name="_Toc31903"/>
      <w:r>
        <w:rPr>
          <w:rFonts w:hint="eastAsia" w:ascii="仿宋" w:hAnsi="仿宋" w:eastAsia="仿宋" w:cs="仿宋"/>
          <w:sz w:val="32"/>
          <w:szCs w:val="32"/>
        </w:rPr>
        <w:t>四、</w:t>
      </w:r>
      <w:bookmarkEnd w:id="6"/>
      <w:bookmarkEnd w:id="7"/>
      <w:bookmarkEnd w:id="8"/>
      <w:bookmarkEnd w:id="9"/>
      <w:r>
        <w:rPr>
          <w:rFonts w:hint="eastAsia" w:ascii="仿宋" w:hAnsi="仿宋" w:eastAsia="仿宋" w:cs="仿宋"/>
          <w:sz w:val="32"/>
          <w:szCs w:val="32"/>
        </w:rPr>
        <w:t>法定代表人身份证明</w:t>
      </w:r>
    </w:p>
    <w:p>
      <w:pPr>
        <w:spacing w:line="560" w:lineRule="exact"/>
        <w:ind w:firstLine="640" w:firstLineChars="200"/>
        <w:rPr>
          <w:rFonts w:hint="eastAsia" w:ascii="仿宋" w:hAnsi="仿宋" w:eastAsia="仿宋" w:cs="仿宋"/>
          <w:sz w:val="32"/>
          <w:szCs w:val="32"/>
        </w:rPr>
      </w:pPr>
      <w:bookmarkStart w:id="10" w:name="_Toc3201"/>
      <w:r>
        <w:rPr>
          <w:rFonts w:hint="eastAsia" w:ascii="仿宋" w:hAnsi="仿宋" w:eastAsia="仿宋" w:cs="仿宋"/>
          <w:sz w:val="32"/>
          <w:szCs w:val="32"/>
        </w:rPr>
        <w:t>五、参选单位基本情况表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六、近三年类似项目情况表</w:t>
      </w:r>
    </w:p>
    <w:bookmarkEnd w:id="10"/>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服务</w:t>
      </w:r>
      <w:r>
        <w:rPr>
          <w:rFonts w:hint="eastAsia" w:ascii="仿宋" w:hAnsi="仿宋" w:eastAsia="仿宋" w:cs="仿宋"/>
          <w:sz w:val="32"/>
          <w:szCs w:val="32"/>
        </w:rPr>
        <w:t>方案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八、服务承诺</w:t>
      </w:r>
    </w:p>
    <w:p>
      <w:pPr>
        <w:pStyle w:val="4"/>
      </w:pPr>
    </w:p>
    <w:p>
      <w:pP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br w:type="page"/>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60" w:lineRule="exact"/>
        <w:rPr>
          <w:rFonts w:ascii="仿宋" w:hAnsi="仿宋" w:eastAsia="仿宋" w:cs="仿宋_GB2312"/>
          <w:sz w:val="32"/>
          <w:szCs w:val="32"/>
        </w:rPr>
      </w:pPr>
      <w:r>
        <w:rPr>
          <w:rFonts w:hint="eastAsia" w:ascii="仿宋" w:hAnsi="仿宋" w:eastAsia="仿宋" w:cs="仿宋_GB2312"/>
          <w:sz w:val="32"/>
          <w:szCs w:val="32"/>
        </w:rPr>
        <w:t>宁夏宁东开发投资有限公司：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一、我方全面研究了你司发布的比选文件，决定以</w:t>
      </w:r>
      <w:r>
        <w:rPr>
          <w:rFonts w:hint="eastAsia" w:ascii="仿宋" w:hAnsi="仿宋" w:eastAsia="仿宋" w:cs="仿宋_GB2312"/>
          <w:sz w:val="32"/>
          <w:szCs w:val="32"/>
          <w:u w:val="single"/>
        </w:rPr>
        <w:t>人民币XX元（</w:t>
      </w:r>
      <w:r>
        <w:rPr>
          <w:rFonts w:hint="eastAsia" w:ascii="仿宋" w:hAnsi="仿宋" w:eastAsia="仿宋" w:cs="仿宋_GB2312"/>
          <w:sz w:val="32"/>
          <w:szCs w:val="32"/>
          <w:u w:val="single"/>
          <w:lang w:val="en-US"/>
        </w:rPr>
        <w:t xml:space="preserve">大写：     </w:t>
      </w:r>
      <w:r>
        <w:rPr>
          <w:rFonts w:hint="eastAsia" w:ascii="仿宋" w:hAnsi="仿宋" w:eastAsia="仿宋" w:cs="仿宋_GB2312"/>
          <w:sz w:val="32"/>
          <w:szCs w:val="32"/>
          <w:u w:val="single"/>
        </w:rPr>
        <w:t>）</w:t>
      </w:r>
      <w:r>
        <w:rPr>
          <w:rFonts w:hint="eastAsia" w:ascii="仿宋" w:hAnsi="仿宋" w:eastAsia="仿宋" w:cs="仿宋_GB2312"/>
          <w:sz w:val="32"/>
          <w:szCs w:val="32"/>
        </w:rPr>
        <w:t>参加你司组织的</w:t>
      </w:r>
      <w:r>
        <w:rPr>
          <w:rFonts w:hint="eastAsia" w:ascii="仿宋" w:hAnsi="仿宋" w:eastAsia="仿宋" w:cs="仿宋_GB2312"/>
          <w:sz w:val="32"/>
          <w:szCs w:val="32"/>
          <w:lang w:val="en-US" w:eastAsia="zh-CN"/>
        </w:rPr>
        <w:t>宁东基地党群活动中心物业服务单位</w:t>
      </w:r>
      <w:r>
        <w:rPr>
          <w:rFonts w:hint="eastAsia" w:ascii="仿宋" w:hAnsi="仿宋" w:eastAsia="仿宋" w:cs="仿宋_GB2312"/>
          <w:sz w:val="32"/>
          <w:szCs w:val="32"/>
          <w:lang w:val="en-US"/>
        </w:rPr>
        <w:t>比选</w:t>
      </w:r>
      <w:r>
        <w:rPr>
          <w:rFonts w:hint="eastAsia" w:ascii="仿宋" w:hAnsi="仿宋" w:eastAsia="仿宋" w:cs="仿宋_GB2312"/>
          <w:sz w:val="32"/>
          <w:szCs w:val="32"/>
        </w:rPr>
        <w:t>。我方授权（姓名、职务）代表我方（参选单位的名称）全权处理本项目比选相关事宜。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二、如我方中选，我方将严格履行协议书、合同及比选文件规定的责任和义务。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三、如我方中选，保证按照</w:t>
      </w:r>
      <w:r>
        <w:rPr>
          <w:rFonts w:hint="eastAsia" w:ascii="仿宋" w:hAnsi="仿宋" w:eastAsia="仿宋" w:cs="仿宋_GB2312"/>
          <w:sz w:val="32"/>
          <w:szCs w:val="32"/>
          <w:lang w:val="en-US" w:eastAsia="zh-CN"/>
        </w:rPr>
        <w:t>委托</w:t>
      </w:r>
      <w:r>
        <w:rPr>
          <w:rFonts w:hint="eastAsia" w:ascii="仿宋" w:hAnsi="仿宋" w:eastAsia="仿宋" w:cs="仿宋_GB2312"/>
          <w:sz w:val="32"/>
          <w:szCs w:val="32"/>
        </w:rPr>
        <w:t>单位要求</w:t>
      </w:r>
      <w:r>
        <w:rPr>
          <w:rFonts w:hint="eastAsia" w:ascii="仿宋" w:hAnsi="仿宋" w:eastAsia="仿宋" w:cs="仿宋_GB2312"/>
          <w:sz w:val="32"/>
          <w:szCs w:val="32"/>
          <w:lang w:val="en-US" w:eastAsia="zh-CN"/>
        </w:rPr>
        <w:t>做好物业服务</w:t>
      </w:r>
      <w:r>
        <w:rPr>
          <w:rFonts w:hint="eastAsia" w:ascii="仿宋" w:hAnsi="仿宋" w:eastAsia="仿宋" w:cs="仿宋_GB2312"/>
          <w:sz w:val="32"/>
          <w:szCs w:val="32"/>
        </w:rPr>
        <w:t>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四、我方为本项目提交的</w:t>
      </w:r>
      <w:r>
        <w:rPr>
          <w:rFonts w:hint="eastAsia" w:ascii="仿宋" w:hAnsi="仿宋" w:eastAsia="仿宋" w:cs="仿宋_GB2312"/>
          <w:sz w:val="32"/>
          <w:szCs w:val="32"/>
          <w:lang w:val="en-US"/>
        </w:rPr>
        <w:t>参选</w:t>
      </w:r>
      <w:r>
        <w:rPr>
          <w:rFonts w:hint="eastAsia" w:ascii="仿宋" w:hAnsi="仿宋" w:eastAsia="仿宋" w:cs="仿宋_GB2312"/>
          <w:sz w:val="32"/>
          <w:szCs w:val="32"/>
        </w:rPr>
        <w:t>文件为一式贰份，其中正本壹份,副本壹份。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_GB2312"/>
          <w:sz w:val="32"/>
          <w:szCs w:val="32"/>
          <w:lang w:val="en-US"/>
        </w:rPr>
        <w:t>参</w:t>
      </w:r>
      <w:r>
        <w:rPr>
          <w:rFonts w:hint="eastAsia" w:ascii="仿宋" w:hAnsi="仿宋" w:eastAsia="仿宋" w:cs="仿宋_GB2312"/>
          <w:sz w:val="32"/>
          <w:szCs w:val="32"/>
        </w:rPr>
        <w:t>选资格。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参选单位名称（盖章）：</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参选单位法定代表人或授权代理人（签字）：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通讯地址：                联系电话：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参选日期：</w:t>
      </w:r>
    </w:p>
    <w:p>
      <w:pPr>
        <w:numPr>
          <w:ilvl w:val="0"/>
          <w:numId w:val="2"/>
        </w:numPr>
        <w:spacing w:line="560" w:lineRule="exact"/>
        <w:ind w:firstLine="640" w:firstLineChars="200"/>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lang w:bidi="zh-CN"/>
        </w:rPr>
        <w:br w:type="page"/>
      </w:r>
    </w:p>
    <w:tbl>
      <w:tblPr>
        <w:tblStyle w:val="11"/>
        <w:tblpPr w:leftFromText="180" w:rightFromText="180" w:vertAnchor="text" w:horzAnchor="page" w:tblpX="1198" w:tblpY="560"/>
        <w:tblOverlap w:val="never"/>
        <w:tblW w:w="9720" w:type="dxa"/>
        <w:tblInd w:w="0" w:type="dxa"/>
        <w:tblLayout w:type="fixed"/>
        <w:tblCellMar>
          <w:top w:w="0" w:type="dxa"/>
          <w:left w:w="108" w:type="dxa"/>
          <w:bottom w:w="0" w:type="dxa"/>
          <w:right w:w="108" w:type="dxa"/>
        </w:tblCellMar>
      </w:tblPr>
      <w:tblGrid>
        <w:gridCol w:w="2315"/>
        <w:gridCol w:w="1286"/>
        <w:gridCol w:w="6119"/>
      </w:tblGrid>
      <w:tr>
        <w:tblPrEx>
          <w:tblCellMar>
            <w:top w:w="0" w:type="dxa"/>
            <w:left w:w="108" w:type="dxa"/>
            <w:bottom w:w="0" w:type="dxa"/>
            <w:right w:w="108" w:type="dxa"/>
          </w:tblCellMar>
        </w:tblPrEx>
        <w:trPr>
          <w:trHeight w:val="92" w:hRule="atLeast"/>
        </w:trPr>
        <w:tc>
          <w:tcPr>
            <w:tcW w:w="9720" w:type="dxa"/>
            <w:gridSpan w:val="3"/>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100" w:lineRule="exact"/>
              <w:jc w:val="both"/>
              <w:textAlignment w:val="bottom"/>
              <w:rPr>
                <w:rFonts w:ascii="方正小标宋简体" w:hAnsi="方正小标宋简体" w:eastAsia="方正小标宋简体" w:cs="方正小标宋简体"/>
                <w:color w:val="000000"/>
                <w:sz w:val="32"/>
                <w:szCs w:val="32"/>
              </w:rPr>
            </w:pPr>
            <w:bookmarkStart w:id="11" w:name="_Toc9590"/>
            <w:bookmarkStart w:id="12" w:name="_Toc19399_WPSOffice_Level1"/>
            <w:bookmarkStart w:id="13" w:name="_Toc5607"/>
            <w:bookmarkStart w:id="14" w:name="_Toc6148"/>
            <w:bookmarkStart w:id="15" w:name="_Toc1398"/>
          </w:p>
        </w:tc>
      </w:tr>
      <w:tr>
        <w:tblPrEx>
          <w:tblCellMar>
            <w:top w:w="0" w:type="dxa"/>
            <w:left w:w="108" w:type="dxa"/>
            <w:bottom w:w="0" w:type="dxa"/>
            <w:right w:w="108" w:type="dxa"/>
          </w:tblCellMar>
        </w:tblPrEx>
        <w:trPr>
          <w:trHeight w:val="364"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评审因素</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分值</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0"/>
                <w:szCs w:val="20"/>
              </w:rPr>
            </w:pPr>
            <w:r>
              <w:rPr>
                <w:rFonts w:hint="eastAsia" w:ascii="宋体" w:hAnsi="宋体" w:cs="宋体"/>
                <w:b/>
                <w:bCs/>
                <w:color w:val="000000"/>
                <w:sz w:val="20"/>
                <w:szCs w:val="20"/>
              </w:rPr>
              <w:t>评分标准</w:t>
            </w:r>
          </w:p>
        </w:tc>
      </w:tr>
      <w:tr>
        <w:tblPrEx>
          <w:tblCellMar>
            <w:top w:w="0" w:type="dxa"/>
            <w:left w:w="108" w:type="dxa"/>
            <w:bottom w:w="0" w:type="dxa"/>
            <w:right w:w="108" w:type="dxa"/>
          </w:tblCellMar>
        </w:tblPrEx>
        <w:trPr>
          <w:trHeight w:val="751"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参选报价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highlight w:val="none"/>
              </w:rPr>
              <w:t>基于合理的服务管理方案，</w:t>
            </w:r>
            <w:r>
              <w:rPr>
                <w:rFonts w:hint="eastAsia" w:ascii="宋体" w:hAnsi="宋体" w:cs="宋体"/>
                <w:color w:val="000000"/>
                <w:sz w:val="20"/>
                <w:szCs w:val="20"/>
                <w:highlight w:val="none"/>
                <w:lang w:val="en-US" w:eastAsia="zh-CN"/>
              </w:rPr>
              <w:t>除参选报价与管理服务方案不相匹配</w:t>
            </w:r>
            <w:r>
              <w:rPr>
                <w:rFonts w:hint="eastAsia" w:ascii="宋体" w:hAnsi="宋体" w:cs="宋体"/>
                <w:color w:val="000000"/>
                <w:sz w:val="20"/>
                <w:szCs w:val="20"/>
                <w:highlight w:val="none"/>
              </w:rPr>
              <w:t>又不能做出合理解释的</w:t>
            </w:r>
            <w:r>
              <w:rPr>
                <w:rFonts w:hint="eastAsia" w:ascii="宋体" w:hAnsi="宋体" w:cs="宋体"/>
                <w:color w:val="000000"/>
                <w:sz w:val="20"/>
                <w:szCs w:val="20"/>
                <w:highlight w:val="none"/>
                <w:lang w:val="en-US" w:eastAsia="zh-CN"/>
              </w:rPr>
              <w:t>外，</w:t>
            </w:r>
            <w:r>
              <w:rPr>
                <w:rFonts w:hint="eastAsia" w:ascii="宋体" w:hAnsi="宋体" w:cs="宋体"/>
                <w:color w:val="000000"/>
                <w:sz w:val="20"/>
                <w:szCs w:val="20"/>
                <w:highlight w:val="none"/>
              </w:rPr>
              <w:t>满足比选文件要求且参选价格最低的报价为评选基准价，其参选报</w:t>
            </w:r>
            <w:r>
              <w:rPr>
                <w:rFonts w:hint="eastAsia" w:ascii="宋体" w:hAnsi="宋体" w:cs="宋体"/>
                <w:color w:val="000000"/>
                <w:sz w:val="20"/>
                <w:szCs w:val="20"/>
              </w:rPr>
              <w:t>价得满分10分，其他参选单位的报价得分按下列公式计算：参选报价得分=(评选基准价/参选报价)×10。</w:t>
            </w:r>
          </w:p>
        </w:tc>
      </w:tr>
      <w:tr>
        <w:tblPrEx>
          <w:tblCellMar>
            <w:top w:w="0" w:type="dxa"/>
            <w:left w:w="108" w:type="dxa"/>
            <w:bottom w:w="0" w:type="dxa"/>
            <w:right w:w="108" w:type="dxa"/>
          </w:tblCellMar>
        </w:tblPrEx>
        <w:trPr>
          <w:trHeight w:val="934"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企业实力</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5分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提供：ISO质量管理体系认证、ISO职业健康安全管理体系认证、ISO环境管理体系认证，提供的证件均在有效期内的，每有一项得1分，证件齐全得5分。</w:t>
            </w:r>
          </w:p>
        </w:tc>
      </w:tr>
      <w:tr>
        <w:tblPrEx>
          <w:tblCellMar>
            <w:top w:w="0" w:type="dxa"/>
            <w:left w:w="108" w:type="dxa"/>
            <w:bottom w:w="0" w:type="dxa"/>
            <w:right w:w="108" w:type="dxa"/>
          </w:tblCellMar>
        </w:tblPrEx>
        <w:trPr>
          <w:trHeight w:val="1052"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企业业绩</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根据投标人2020年1月至今（以签订合同时间为准），已完成或正在履行的非住宅物业项目业绩，有一项得 5 分，总分不超过1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r>
              <w:rPr>
                <w:rFonts w:hint="eastAsia" w:ascii="宋体" w:hAnsi="宋体" w:cs="宋体"/>
                <w:color w:val="000000"/>
                <w:sz w:val="20"/>
                <w:szCs w:val="20"/>
                <w:lang w:val="en-US" w:eastAsia="zh-CN"/>
              </w:rPr>
              <w:t>参选</w:t>
            </w:r>
            <w:r>
              <w:rPr>
                <w:rFonts w:hint="eastAsia" w:ascii="宋体" w:hAnsi="宋体" w:cs="宋体"/>
                <w:color w:val="000000"/>
                <w:sz w:val="20"/>
                <w:szCs w:val="20"/>
              </w:rPr>
              <w:t>文件中</w:t>
            </w:r>
            <w:r>
              <w:rPr>
                <w:rFonts w:hint="eastAsia" w:ascii="宋体" w:hAnsi="宋体" w:cs="宋体"/>
                <w:color w:val="000000"/>
                <w:sz w:val="20"/>
                <w:szCs w:val="20"/>
                <w:lang w:val="en-US" w:eastAsia="zh-CN"/>
              </w:rPr>
              <w:t>应</w:t>
            </w:r>
            <w:r>
              <w:rPr>
                <w:rFonts w:hint="eastAsia" w:ascii="宋体" w:hAnsi="宋体" w:cs="宋体"/>
                <w:color w:val="000000"/>
                <w:sz w:val="20"/>
                <w:szCs w:val="20"/>
              </w:rPr>
              <w:t>提供中标通知书及合同复印件或扫描件</w:t>
            </w:r>
            <w:r>
              <w:rPr>
                <w:rFonts w:hint="eastAsia" w:ascii="宋体" w:hAnsi="宋体" w:cs="宋体"/>
                <w:color w:val="000000"/>
                <w:sz w:val="20"/>
                <w:szCs w:val="20"/>
                <w:lang w:eastAsia="zh-CN"/>
              </w:rPr>
              <w:t>，</w:t>
            </w:r>
            <w:r>
              <w:rPr>
                <w:rFonts w:hint="eastAsia" w:ascii="宋体" w:hAnsi="宋体" w:cs="宋体"/>
                <w:color w:val="000000"/>
                <w:sz w:val="20"/>
                <w:szCs w:val="20"/>
              </w:rPr>
              <w:t>并加盖公章</w:t>
            </w:r>
            <w:r>
              <w:rPr>
                <w:rFonts w:hint="eastAsia" w:ascii="宋体" w:hAnsi="宋体" w:cs="宋体"/>
                <w:color w:val="000000"/>
                <w:sz w:val="20"/>
                <w:szCs w:val="20"/>
                <w:lang w:val="en-US" w:eastAsia="zh-CN"/>
              </w:rPr>
              <w:t>。业绩复印件不清晰、未加盖公章的</w:t>
            </w:r>
            <w:r>
              <w:rPr>
                <w:rFonts w:hint="eastAsia" w:ascii="宋体" w:hAnsi="宋体" w:cs="宋体"/>
                <w:color w:val="000000"/>
                <w:sz w:val="20"/>
                <w:szCs w:val="20"/>
              </w:rPr>
              <w:t>不得分。</w:t>
            </w:r>
          </w:p>
        </w:tc>
      </w:tr>
      <w:tr>
        <w:tblPrEx>
          <w:tblCellMar>
            <w:top w:w="0" w:type="dxa"/>
            <w:left w:w="108" w:type="dxa"/>
            <w:bottom w:w="0" w:type="dxa"/>
            <w:right w:w="108" w:type="dxa"/>
          </w:tblCellMar>
        </w:tblPrEx>
        <w:trPr>
          <w:trHeight w:val="1137"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服务整体构想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服务整体构想的内容包括但不限于管理思路、提出管理服务定位、管理服务目标、管理服务理念等。根据以上内容，管理思路清晰，物业管理相关服务目标承诺齐全得5-1</w:t>
            </w:r>
            <w:r>
              <w:rPr>
                <w:rFonts w:hint="eastAsia" w:ascii="宋体" w:hAnsi="宋体" w:cs="宋体"/>
                <w:color w:val="000000"/>
                <w:sz w:val="20"/>
                <w:szCs w:val="20"/>
                <w:lang w:val="en-US" w:eastAsia="zh-CN"/>
              </w:rPr>
              <w:t>0</w:t>
            </w:r>
            <w:r>
              <w:rPr>
                <w:rFonts w:hint="eastAsia" w:ascii="宋体" w:hAnsi="宋体" w:cs="宋体"/>
                <w:color w:val="000000"/>
                <w:sz w:val="20"/>
                <w:szCs w:val="20"/>
              </w:rPr>
              <w:t>分；有管理思路和承诺、但不完备的得1-5分；未提供不得分。</w:t>
            </w:r>
          </w:p>
        </w:tc>
      </w:tr>
      <w:tr>
        <w:tblPrEx>
          <w:tblCellMar>
            <w:top w:w="0" w:type="dxa"/>
            <w:left w:w="108" w:type="dxa"/>
            <w:bottom w:w="0" w:type="dxa"/>
            <w:right w:w="108" w:type="dxa"/>
          </w:tblCellMar>
        </w:tblPrEx>
        <w:trPr>
          <w:trHeight w:val="1305"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工程设施设备维修维护服务方案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楼宇日常养护、设备运行管理、设备的节能降耗等。提供的管理方案全面、合理、科学、可行，有设备运行维保计划及保养标准，有各类设施设备运行管理方案，设备经营体现节能降耗，根据内容完整情况，方案完整合理得8-</w:t>
            </w:r>
            <w:r>
              <w:rPr>
                <w:rFonts w:hint="eastAsia" w:ascii="宋体" w:hAnsi="宋体" w:cs="宋体"/>
                <w:color w:val="000000"/>
                <w:sz w:val="20"/>
                <w:szCs w:val="20"/>
                <w:lang w:val="en-US" w:eastAsia="zh-CN"/>
              </w:rPr>
              <w:t>15</w:t>
            </w:r>
            <w:r>
              <w:rPr>
                <w:rFonts w:hint="eastAsia" w:ascii="宋体" w:hAnsi="宋体" w:cs="宋体"/>
                <w:color w:val="000000"/>
                <w:sz w:val="20"/>
                <w:szCs w:val="20"/>
              </w:rPr>
              <w:t>分，方案基本满足采购需求的得4-7分；有方案，但不完备得1-3分；未提供不得分。</w:t>
            </w:r>
          </w:p>
        </w:tc>
      </w:tr>
      <w:tr>
        <w:tblPrEx>
          <w:tblCellMar>
            <w:top w:w="0" w:type="dxa"/>
            <w:left w:w="108" w:type="dxa"/>
            <w:bottom w:w="0" w:type="dxa"/>
            <w:right w:w="108" w:type="dxa"/>
          </w:tblCellMar>
        </w:tblPrEx>
        <w:trPr>
          <w:trHeight w:val="1862"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环境维护服务方案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color w:val="000000"/>
                <w:sz w:val="20"/>
                <w:szCs w:val="20"/>
                <w:lang w:val="en-US" w:eastAsia="zh-CN"/>
              </w:rPr>
              <w:t>5</w:t>
            </w:r>
            <w:r>
              <w:rPr>
                <w:rFonts w:hint="eastAsia" w:ascii="宋体" w:hAnsi="宋体" w:cs="宋体"/>
                <w:color w:val="000000"/>
                <w:sz w:val="20"/>
                <w:szCs w:val="20"/>
              </w:rPr>
              <w:t>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服务方案包括但不限于保洁范围、卫生管理、作业程序、清洁用品使用程序等。根据以上内容方案提供的保洁服务管理方案全面合理科学，可行性强，有工作流程、标准及服务质量考核，并且提供完善的清洁消毒方案。保洁方案符合采购人实际情况，全面、合理、详细、适用性强，能充分符合要求的得8-1</w:t>
            </w:r>
            <w:r>
              <w:rPr>
                <w:rFonts w:hint="eastAsia" w:ascii="宋体" w:hAnsi="宋体" w:cs="宋体"/>
                <w:color w:val="000000"/>
                <w:sz w:val="20"/>
                <w:szCs w:val="20"/>
                <w:lang w:val="en-US" w:eastAsia="zh-CN"/>
              </w:rPr>
              <w:t>5</w:t>
            </w:r>
            <w:r>
              <w:rPr>
                <w:rFonts w:hint="eastAsia" w:ascii="宋体" w:hAnsi="宋体" w:cs="宋体"/>
                <w:color w:val="000000"/>
                <w:sz w:val="20"/>
                <w:szCs w:val="20"/>
              </w:rPr>
              <w:t>分；方案全面、有可操作性，大致符合采购人情况的得4-7分；有保洁服务方案，但不完备得1-3分；未提供不得分。</w:t>
            </w:r>
          </w:p>
        </w:tc>
      </w:tr>
      <w:tr>
        <w:tblPrEx>
          <w:tblCellMar>
            <w:top w:w="0" w:type="dxa"/>
            <w:left w:w="108" w:type="dxa"/>
            <w:bottom w:w="0" w:type="dxa"/>
            <w:right w:w="108" w:type="dxa"/>
          </w:tblCellMar>
        </w:tblPrEx>
        <w:trPr>
          <w:trHeight w:val="934"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highlight w:val="none"/>
              </w:rPr>
              <w:t>人员配置要求及人员培训、行为规范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15分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1.人员配置内容包括但不限于岗位、人数、配置</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人员更换计划</w:t>
            </w:r>
            <w:r>
              <w:rPr>
                <w:rFonts w:hint="eastAsia" w:ascii="宋体" w:hAnsi="宋体" w:cs="宋体"/>
                <w:color w:val="000000"/>
                <w:sz w:val="20"/>
                <w:szCs w:val="20"/>
              </w:rPr>
              <w:t>等内容。为保证服务质量，契合服务内容，如人员配置中包含维修、消防等专业技术岗位，需提供相应资格证书复印件或扫描件及202</w:t>
            </w:r>
            <w:r>
              <w:rPr>
                <w:rFonts w:hint="eastAsia" w:ascii="宋体" w:hAnsi="宋体" w:cs="宋体"/>
                <w:color w:val="000000"/>
                <w:sz w:val="20"/>
                <w:szCs w:val="20"/>
                <w:lang w:val="en-US" w:eastAsia="zh-CN"/>
              </w:rPr>
              <w:t>3</w:t>
            </w:r>
            <w:r>
              <w:rPr>
                <w:rFonts w:hint="eastAsia" w:ascii="宋体" w:hAnsi="宋体" w:cs="宋体"/>
                <w:color w:val="000000"/>
                <w:sz w:val="20"/>
                <w:szCs w:val="20"/>
              </w:rPr>
              <w:t>年以来任意3个月社保缴纳凭证</w:t>
            </w:r>
            <w:r>
              <w:rPr>
                <w:rFonts w:hint="eastAsia" w:ascii="宋体" w:hAnsi="宋体" w:cs="宋体"/>
                <w:color w:val="000000"/>
                <w:sz w:val="20"/>
                <w:szCs w:val="20"/>
                <w:lang w:eastAsia="zh-CN"/>
              </w:rPr>
              <w:t>，</w:t>
            </w:r>
            <w:r>
              <w:rPr>
                <w:rFonts w:hint="eastAsia" w:ascii="宋体" w:hAnsi="宋体" w:cs="宋体"/>
                <w:color w:val="000000"/>
                <w:sz w:val="20"/>
                <w:szCs w:val="20"/>
              </w:rPr>
              <w:t>并加盖公章。满足需求的得1-10分，未提供</w:t>
            </w:r>
            <w:r>
              <w:rPr>
                <w:rFonts w:hint="eastAsia" w:ascii="宋体" w:hAnsi="宋体" w:cs="宋体"/>
                <w:color w:val="000000"/>
                <w:sz w:val="20"/>
                <w:szCs w:val="20"/>
                <w:lang w:val="en-US" w:eastAsia="zh-CN"/>
              </w:rPr>
              <w:t>人员配置方案的</w:t>
            </w:r>
            <w:r>
              <w:rPr>
                <w:rFonts w:hint="eastAsia" w:ascii="宋体" w:hAnsi="宋体" w:cs="宋体"/>
                <w:color w:val="000000"/>
                <w:sz w:val="20"/>
                <w:szCs w:val="20"/>
              </w:rPr>
              <w:t>不得分。</w:t>
            </w:r>
            <w:r>
              <w:rPr>
                <w:rFonts w:hint="eastAsia" w:ascii="宋体" w:hAnsi="宋体" w:cs="宋体"/>
                <w:color w:val="000000"/>
                <w:sz w:val="20"/>
                <w:szCs w:val="20"/>
              </w:rPr>
              <w:br w:type="textWrapping"/>
            </w:r>
            <w:r>
              <w:rPr>
                <w:rFonts w:hint="eastAsia" w:ascii="宋体" w:hAnsi="宋体" w:cs="宋体"/>
                <w:color w:val="000000"/>
                <w:sz w:val="20"/>
                <w:szCs w:val="20"/>
              </w:rPr>
              <w:t>2.人员培训内容包括但不限于培训方式、培训计划、培训效果评估等。行为规范内容包括但不限于工作纪律、工作态度、仪容仪表、工作态度、工作职责</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违规处罚</w:t>
            </w:r>
            <w:r>
              <w:rPr>
                <w:rFonts w:hint="eastAsia" w:ascii="宋体" w:hAnsi="宋体" w:cs="宋体"/>
                <w:color w:val="000000"/>
                <w:sz w:val="20"/>
                <w:szCs w:val="20"/>
              </w:rPr>
              <w:t>等。与采购需求高度契合、服务人员行为规范、培训计划和内容制定全面具体，可操作性强得1-5分，未提供不得分。</w:t>
            </w:r>
          </w:p>
        </w:tc>
      </w:tr>
      <w:tr>
        <w:tblPrEx>
          <w:tblCellMar>
            <w:top w:w="0" w:type="dxa"/>
            <w:left w:w="108" w:type="dxa"/>
            <w:bottom w:w="0" w:type="dxa"/>
            <w:right w:w="108" w:type="dxa"/>
          </w:tblCellMar>
        </w:tblPrEx>
        <w:trPr>
          <w:trHeight w:val="941" w:hRule="atLeas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管理制度及应急预案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10分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 w:val="20"/>
                <w:szCs w:val="20"/>
              </w:rPr>
            </w:pPr>
            <w:r>
              <w:rPr>
                <w:rFonts w:hint="eastAsia" w:ascii="宋体" w:hAnsi="宋体" w:cs="宋体"/>
                <w:color w:val="000000"/>
                <w:sz w:val="20"/>
                <w:szCs w:val="20"/>
              </w:rPr>
              <w:t>管理制度内容包括但不限于服务管理制度、管理机制、考核机制等。有档案建立与管理方案。应急预案内容包括但不限于责任分工、紧急情况应对流程、各类预防措施等。根据以上内容，提供的方案科学合理、日常管理和服务过程中规范、内容详实得5-10分；基本完善得1-5分；未提供不得分。</w:t>
            </w:r>
          </w:p>
        </w:tc>
      </w:tr>
    </w:tbl>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二、</w:t>
      </w:r>
      <w:r>
        <w:rPr>
          <w:rFonts w:hint="eastAsia" w:ascii="方正小标宋简体" w:hAnsi="方正小标宋简体" w:eastAsia="方正小标宋简体" w:cs="方正小标宋简体"/>
          <w:bCs/>
          <w:sz w:val="44"/>
          <w:szCs w:val="44"/>
        </w:rPr>
        <w:t>评分细则</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三、授权委托书</w:t>
      </w:r>
      <w:bookmarkEnd w:id="11"/>
      <w:bookmarkEnd w:id="12"/>
      <w:bookmarkEnd w:id="13"/>
      <w:bookmarkEnd w:id="14"/>
      <w:bookmarkEnd w:id="15"/>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委托期限：   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4"/>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2090" w:firstLineChars="950"/>
      </w:pPr>
      <w:bookmarkStart w:id="16" w:name="_Toc14082"/>
      <w:bookmarkStart w:id="17" w:name="_Toc26187_WPSOffice_Level2"/>
      <w:bookmarkStart w:id="18" w:name="_Toc22710"/>
      <w:r>
        <w:rPr>
          <w:rFonts w:hint="eastAsia"/>
        </w:rPr>
        <w:br w:type="page"/>
      </w:r>
      <w:bookmarkStart w:id="19" w:name="_Toc31824"/>
      <w:bookmarkStart w:id="20" w:name="_Toc9424"/>
      <w:bookmarkStart w:id="21" w:name="_Toc8696"/>
      <w:bookmarkStart w:id="22" w:name="_Toc27593"/>
      <w:r>
        <w:rPr>
          <w:rFonts w:hint="eastAsia" w:ascii="方正小标宋简体" w:hAnsi="方正小标宋简体" w:eastAsia="方正小标宋简体" w:cs="方正小标宋简体"/>
          <w:sz w:val="44"/>
          <w:szCs w:val="44"/>
        </w:rPr>
        <w:t>四、法定代表人身份证明</w:t>
      </w:r>
      <w:bookmarkEnd w:id="16"/>
      <w:bookmarkEnd w:id="17"/>
      <w:bookmarkEnd w:id="18"/>
      <w:bookmarkEnd w:id="19"/>
      <w:bookmarkEnd w:id="20"/>
      <w:bookmarkEnd w:id="21"/>
      <w:bookmarkEnd w:id="22"/>
    </w:p>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姓名：  性别：  年龄：  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p>
    <w:p>
      <w:pPr>
        <w:rPr>
          <w:rFonts w:ascii="黑体"/>
          <w:sz w:val="24"/>
          <w:szCs w:val="16"/>
        </w:rPr>
        <w:sectPr>
          <w:type w:val="continuous"/>
          <w:pgSz w:w="11910" w:h="16840"/>
          <w:pgMar w:top="2098" w:right="1474" w:bottom="1984" w:left="1587" w:header="873" w:footer="993" w:gutter="0"/>
          <w:pgNumType w:fmt="numberInDash"/>
          <w:cols w:space="720" w:num="1"/>
        </w:sectPr>
      </w:pPr>
      <w:r>
        <w:rPr>
          <w:szCs w:val="21"/>
        </w:rPr>
        <w:br w:type="page"/>
      </w:r>
      <w:bookmarkStart w:id="23" w:name="_Toc18563_WPSOffice_Level1"/>
      <w:bookmarkStart w:id="24" w:name="_Toc18768"/>
      <w:bookmarkStart w:id="25" w:name="_Toc12618"/>
      <w:bookmarkStart w:id="26" w:name="_Toc11729_WPSOffice_Level1"/>
      <w:bookmarkStart w:id="27" w:name="_Toc2496"/>
      <w:bookmarkStart w:id="28" w:name="_Toc29959"/>
      <w:bookmarkStart w:id="29" w:name="_Toc23875"/>
    </w:p>
    <w:bookmarkEnd w:id="23"/>
    <w:bookmarkEnd w:id="24"/>
    <w:bookmarkEnd w:id="25"/>
    <w:bookmarkEnd w:id="26"/>
    <w:bookmarkEnd w:id="27"/>
    <w:bookmarkEnd w:id="28"/>
    <w:bookmarkEnd w:id="29"/>
    <w:p>
      <w:pPr>
        <w:adjustRightInd w:val="0"/>
        <w:snapToGrid w:val="0"/>
        <w:spacing w:line="560" w:lineRule="exact"/>
        <w:jc w:val="center"/>
        <w:rPr>
          <w:rFonts w:ascii="方正小标宋简体" w:hAnsi="方正小标宋简体" w:eastAsia="方正小标宋简体" w:cs="方正小标宋简体"/>
          <w:sz w:val="44"/>
          <w:szCs w:val="44"/>
        </w:rPr>
      </w:pPr>
      <w:bookmarkStart w:id="30" w:name="_Toc31086"/>
      <w:bookmarkStart w:id="31" w:name="_Toc9715"/>
      <w:bookmarkStart w:id="32" w:name="_Toc3866"/>
      <w:bookmarkStart w:id="33" w:name="_Toc27627"/>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val="en-US"/>
        </w:rPr>
        <w:t>参选单位</w:t>
      </w:r>
      <w:r>
        <w:rPr>
          <w:rFonts w:hint="eastAsia" w:ascii="方正小标宋简体" w:hAnsi="方正小标宋简体" w:eastAsia="方正小标宋简体" w:cs="方正小标宋简体"/>
          <w:sz w:val="44"/>
          <w:szCs w:val="44"/>
        </w:rPr>
        <w:t>基本情况表</w:t>
      </w:r>
      <w:bookmarkEnd w:id="30"/>
      <w:bookmarkEnd w:id="31"/>
      <w:bookmarkEnd w:id="32"/>
      <w:bookmarkEnd w:id="33"/>
    </w:p>
    <w:p>
      <w:pPr>
        <w:adjustRightInd w:val="0"/>
        <w:snapToGrid w:val="0"/>
        <w:spacing w:line="560" w:lineRule="exact"/>
        <w:ind w:firstLine="640" w:firstLineChars="200"/>
        <w:jc w:val="center"/>
        <w:rPr>
          <w:rFonts w:ascii="仿宋" w:hAnsi="仿宋" w:eastAsia="仿宋"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参</w:t>
      </w:r>
      <w:r>
        <w:rPr>
          <w:rFonts w:hint="eastAsia" w:ascii="仿宋" w:hAnsi="仿宋" w:eastAsia="仿宋" w:cs="仿宋_GB2312"/>
          <w:sz w:val="32"/>
          <w:szCs w:val="32"/>
        </w:rPr>
        <w:t>选单位概况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（2）资格证明文件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参选单位应按要求附相关证明材料复印件，如：统一社会信用代码的营业执照、授权函等。</w:t>
      </w:r>
    </w:p>
    <w:p>
      <w:r>
        <w:rPr>
          <w:rFonts w:hint="eastAsia"/>
          <w:bCs/>
          <w:sz w:val="24"/>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六、近三年类似项目情况表</w:t>
      </w:r>
    </w:p>
    <w:p/>
    <w:tbl>
      <w:tblPr>
        <w:tblStyle w:val="11"/>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序号</w:t>
            </w:r>
          </w:p>
        </w:tc>
        <w:tc>
          <w:tcPr>
            <w:tcW w:w="1350"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合同名称</w:t>
            </w:r>
          </w:p>
        </w:tc>
        <w:tc>
          <w:tcPr>
            <w:tcW w:w="1675"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业主单位名称</w:t>
            </w:r>
          </w:p>
        </w:tc>
        <w:tc>
          <w:tcPr>
            <w:tcW w:w="1300"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合同总价（元）</w:t>
            </w:r>
          </w:p>
        </w:tc>
        <w:tc>
          <w:tcPr>
            <w:tcW w:w="1288"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合同签订时间</w:t>
            </w:r>
          </w:p>
        </w:tc>
        <w:tc>
          <w:tcPr>
            <w:tcW w:w="1796"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所承担合同的主要内容：（服务范围等）</w:t>
            </w:r>
          </w:p>
        </w:tc>
        <w:tc>
          <w:tcPr>
            <w:tcW w:w="807" w:type="dxa"/>
            <w:tcBorders>
              <w:bottom w:val="single" w:color="auto" w:sz="4" w:space="0"/>
            </w:tcBorders>
            <w:vAlign w:val="center"/>
          </w:tcPr>
          <w:p>
            <w:pPr>
              <w:spacing w:before="156" w:beforeLines="50"/>
              <w:jc w:val="center"/>
              <w:rPr>
                <w:rFonts w:ascii="仿宋" w:hAnsi="仿宋" w:eastAsia="仿宋" w:cs="仿宋_GB2312"/>
                <w:bCs/>
                <w:szCs w:val="21"/>
              </w:rPr>
            </w:pPr>
            <w:r>
              <w:rPr>
                <w:rFonts w:hint="eastAsia" w:ascii="仿宋" w:hAnsi="仿宋" w:eastAsia="仿宋"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1</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2</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3</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4</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5</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6</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7</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 w:hAnsi="仿宋" w:eastAsia="仿宋" w:cs="仿宋_GB2312"/>
                <w:bCs/>
                <w:szCs w:val="21"/>
              </w:rPr>
            </w:pPr>
            <w:r>
              <w:rPr>
                <w:rFonts w:hint="eastAsia" w:ascii="仿宋" w:hAnsi="仿宋" w:eastAsia="仿宋" w:cs="仿宋_GB2312"/>
                <w:bCs/>
                <w:szCs w:val="21"/>
              </w:rPr>
              <w:t>…</w:t>
            </w:r>
          </w:p>
        </w:tc>
        <w:tc>
          <w:tcPr>
            <w:tcW w:w="1350" w:type="dxa"/>
            <w:vAlign w:val="center"/>
          </w:tcPr>
          <w:p>
            <w:pPr>
              <w:ind w:left="376" w:leftChars="171" w:right="-154" w:rightChars="-70"/>
              <w:jc w:val="center"/>
              <w:rPr>
                <w:rFonts w:ascii="仿宋" w:hAnsi="仿宋" w:eastAsia="仿宋"/>
                <w:bCs/>
                <w:szCs w:val="21"/>
              </w:rPr>
            </w:pPr>
          </w:p>
        </w:tc>
        <w:tc>
          <w:tcPr>
            <w:tcW w:w="1675" w:type="dxa"/>
            <w:vAlign w:val="center"/>
          </w:tcPr>
          <w:p>
            <w:pPr>
              <w:ind w:left="376" w:leftChars="171" w:right="-154" w:rightChars="-70"/>
              <w:jc w:val="center"/>
              <w:rPr>
                <w:rFonts w:ascii="仿宋" w:hAnsi="仿宋" w:eastAsia="仿宋"/>
                <w:bCs/>
                <w:szCs w:val="21"/>
              </w:rPr>
            </w:pPr>
          </w:p>
        </w:tc>
        <w:tc>
          <w:tcPr>
            <w:tcW w:w="1300" w:type="dxa"/>
            <w:vAlign w:val="center"/>
          </w:tcPr>
          <w:p>
            <w:pPr>
              <w:ind w:left="376" w:leftChars="171" w:right="-154" w:rightChars="-70"/>
              <w:jc w:val="center"/>
              <w:rPr>
                <w:rFonts w:ascii="仿宋" w:hAnsi="仿宋" w:eastAsia="仿宋"/>
                <w:bCs/>
                <w:szCs w:val="21"/>
              </w:rPr>
            </w:pPr>
          </w:p>
        </w:tc>
        <w:tc>
          <w:tcPr>
            <w:tcW w:w="1288" w:type="dxa"/>
            <w:vAlign w:val="center"/>
          </w:tcPr>
          <w:p>
            <w:pPr>
              <w:ind w:left="376" w:leftChars="171" w:right="-154" w:rightChars="-70"/>
              <w:jc w:val="center"/>
              <w:rPr>
                <w:rFonts w:ascii="仿宋" w:hAnsi="仿宋" w:eastAsia="仿宋"/>
                <w:bCs/>
                <w:szCs w:val="21"/>
              </w:rPr>
            </w:pPr>
          </w:p>
        </w:tc>
        <w:tc>
          <w:tcPr>
            <w:tcW w:w="1796" w:type="dxa"/>
            <w:vAlign w:val="center"/>
          </w:tcPr>
          <w:p>
            <w:pPr>
              <w:ind w:left="376" w:leftChars="171" w:right="-154" w:rightChars="-70"/>
              <w:jc w:val="center"/>
              <w:rPr>
                <w:rFonts w:ascii="仿宋" w:hAnsi="仿宋" w:eastAsia="仿宋"/>
                <w:bCs/>
                <w:szCs w:val="21"/>
              </w:rPr>
            </w:pPr>
          </w:p>
        </w:tc>
        <w:tc>
          <w:tcPr>
            <w:tcW w:w="807" w:type="dxa"/>
            <w:vAlign w:val="center"/>
          </w:tcPr>
          <w:p>
            <w:pPr>
              <w:ind w:left="376" w:leftChars="171" w:right="-154" w:rightChars="-70"/>
              <w:jc w:val="center"/>
              <w:rPr>
                <w:rFonts w:ascii="仿宋" w:hAnsi="仿宋" w:eastAsia="仿宋"/>
                <w:bCs/>
                <w:szCs w:val="21"/>
              </w:rPr>
            </w:pPr>
          </w:p>
        </w:tc>
      </w:tr>
    </w:tbl>
    <w:p>
      <w:pPr>
        <w:spacing w:before="6"/>
        <w:rPr>
          <w:rFonts w:ascii="仿宋" w:hAnsi="仿宋" w:eastAsia="仿宋"/>
          <w:sz w:val="5"/>
          <w:szCs w:val="5"/>
        </w:rPr>
      </w:pPr>
    </w:p>
    <w:p>
      <w:pPr>
        <w:rPr>
          <w:rFonts w:ascii="仿宋" w:hAnsi="仿宋" w:eastAsia="仿宋"/>
        </w:rPr>
      </w:pPr>
      <w:r>
        <w:rPr>
          <w:rFonts w:hint="eastAsia" w:ascii="仿宋" w:hAnsi="仿宋" w:eastAsia="仿宋" w:cs="仿宋_GB2312"/>
          <w:color w:val="000000"/>
          <w:sz w:val="32"/>
          <w:szCs w:val="32"/>
        </w:rPr>
        <w:t>注：类似业绩是指：近3年(</w:t>
      </w:r>
      <w:r>
        <w:rPr>
          <w:rFonts w:hint="eastAsia" w:ascii="仿宋" w:hAnsi="仿宋" w:eastAsia="仿宋" w:cs="仿宋_GB2312"/>
          <w:color w:val="000000"/>
          <w:sz w:val="32"/>
          <w:szCs w:val="32"/>
          <w:lang w:val="en-US"/>
        </w:rPr>
        <w:t>202</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月1日以来)共具有不少于</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个类似项目业绩，证明材料为合同复</w:t>
      </w:r>
      <w:bookmarkStart w:id="34" w:name="_GoBack"/>
      <w:bookmarkEnd w:id="34"/>
      <w:r>
        <w:rPr>
          <w:rFonts w:hint="eastAsia" w:ascii="仿宋" w:hAnsi="仿宋" w:eastAsia="仿宋" w:cs="仿宋_GB2312"/>
          <w:color w:val="000000"/>
          <w:sz w:val="32"/>
          <w:szCs w:val="32"/>
        </w:rPr>
        <w:t>印件。</w:t>
      </w:r>
      <w:r>
        <w:rPr>
          <w:rFonts w:hint="eastAsia" w:ascii="仿宋" w:hAnsi="仿宋" w:eastAsia="仿宋"/>
          <w:b/>
          <w:sz w:val="28"/>
          <w:szCs w:val="28"/>
          <w:lang w:bidi="zh-CN"/>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七、</w:t>
      </w:r>
      <w:r>
        <w:rPr>
          <w:rFonts w:hint="eastAsia" w:ascii="方正小标宋简体" w:hAnsi="方正小标宋简体" w:eastAsia="方正小标宋简体" w:cs="方正小标宋简体"/>
          <w:b w:val="0"/>
          <w:bCs w:val="0"/>
          <w:sz w:val="44"/>
          <w:szCs w:val="44"/>
          <w:lang w:val="en-US" w:eastAsia="zh-CN"/>
        </w:rPr>
        <w:t>服务</w:t>
      </w:r>
      <w:r>
        <w:rPr>
          <w:rFonts w:hint="eastAsia" w:ascii="方正小标宋简体" w:hAnsi="方正小标宋简体" w:eastAsia="方正小标宋简体" w:cs="方正小标宋简体"/>
          <w:b w:val="0"/>
          <w:bCs w:val="0"/>
          <w:sz w:val="44"/>
          <w:szCs w:val="44"/>
        </w:rPr>
        <w:t>方案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按照评分细则</w:t>
      </w:r>
      <w:r>
        <w:rPr>
          <w:rFonts w:hint="eastAsia" w:ascii="仿宋" w:hAnsi="仿宋" w:eastAsia="仿宋" w:cs="仿宋_GB2312"/>
          <w:sz w:val="32"/>
          <w:szCs w:val="32"/>
          <w:lang w:eastAsia="zh-CN"/>
        </w:rPr>
        <w:t>（</w:t>
      </w: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w:t>
      </w:r>
      <w:r>
        <w:rPr>
          <w:rFonts w:hint="eastAsia" w:ascii="仿宋" w:hAnsi="仿宋" w:eastAsia="仿宋" w:cs="仿宋_GB2312"/>
          <w:sz w:val="32"/>
          <w:szCs w:val="32"/>
        </w:rPr>
        <w:t>中的评分因素节点顺序编写。</w:t>
      </w:r>
    </w:p>
    <w:p>
      <w:pPr>
        <w:rPr>
          <w:rFonts w:ascii="仿宋" w:hAnsi="仿宋" w:eastAsia="仿宋"/>
        </w:rPr>
      </w:pPr>
    </w:p>
    <w:p>
      <w:pPr>
        <w:spacing w:line="520" w:lineRule="exact"/>
        <w:rPr>
          <w:rFonts w:ascii="仿宋" w:hAnsi="仿宋" w:eastAsia="仿宋"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pStyle w:val="4"/>
      </w:pPr>
    </w:p>
    <w:p/>
    <w:p>
      <w:pPr>
        <w:pStyle w:val="4"/>
        <w:spacing w:before="0" w:after="0" w:line="560" w:lineRule="exact"/>
        <w:jc w:val="center"/>
        <w:rPr>
          <w:rFonts w:hint="eastAsia" w:ascii="方正小标宋简体" w:hAnsi="方正小标宋简体" w:eastAsia="方正小标宋简体" w:cs="方正小标宋简体"/>
          <w:b w:val="0"/>
          <w:bCs w:val="0"/>
          <w:sz w:val="44"/>
          <w:szCs w:val="44"/>
        </w:rPr>
      </w:pP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八、服务承诺</w:t>
      </w:r>
    </w:p>
    <w:p/>
    <w:p>
      <w:pPr>
        <w:pStyle w:val="10"/>
        <w:ind w:firstLine="220"/>
      </w:pPr>
    </w:p>
    <w:sectPr>
      <w:headerReference r:id="rId3" w:type="default"/>
      <w:type w:val="continuous"/>
      <w:pgSz w:w="11900" w:h="16820"/>
      <w:pgMar w:top="2098" w:right="1474" w:bottom="1984" w:left="1587"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B5522"/>
    <w:multiLevelType w:val="singleLevel"/>
    <w:tmpl w:val="A84B5522"/>
    <w:lvl w:ilvl="0" w:tentative="0">
      <w:start w:val="3"/>
      <w:numFmt w:val="chineseCounting"/>
      <w:suff w:val="nothing"/>
      <w:lvlText w:val="（%1）"/>
      <w:lvlJc w:val="left"/>
      <w:rPr>
        <w:rFonts w:hint="eastAsia"/>
      </w:rPr>
    </w:lvl>
  </w:abstractNum>
  <w:abstractNum w:abstractNumId="1">
    <w:nsid w:val="75CCC671"/>
    <w:multiLevelType w:val="singleLevel"/>
    <w:tmpl w:val="75CCC67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003E06BB"/>
    <w:rsid w:val="0000137E"/>
    <w:rsid w:val="00012E50"/>
    <w:rsid w:val="00020179"/>
    <w:rsid w:val="0003348B"/>
    <w:rsid w:val="00037FC0"/>
    <w:rsid w:val="00046611"/>
    <w:rsid w:val="00052E29"/>
    <w:rsid w:val="00055C05"/>
    <w:rsid w:val="000624F7"/>
    <w:rsid w:val="00066491"/>
    <w:rsid w:val="00076425"/>
    <w:rsid w:val="00085B58"/>
    <w:rsid w:val="0009688B"/>
    <w:rsid w:val="00096AD0"/>
    <w:rsid w:val="000A329D"/>
    <w:rsid w:val="000A6D96"/>
    <w:rsid w:val="000A7A12"/>
    <w:rsid w:val="000C0875"/>
    <w:rsid w:val="000D2395"/>
    <w:rsid w:val="000D732D"/>
    <w:rsid w:val="000F1DED"/>
    <w:rsid w:val="000F7740"/>
    <w:rsid w:val="00101566"/>
    <w:rsid w:val="00106764"/>
    <w:rsid w:val="0010702A"/>
    <w:rsid w:val="00110AA6"/>
    <w:rsid w:val="00114714"/>
    <w:rsid w:val="00114C07"/>
    <w:rsid w:val="001218B6"/>
    <w:rsid w:val="00136FCC"/>
    <w:rsid w:val="0014254F"/>
    <w:rsid w:val="00164CB4"/>
    <w:rsid w:val="0017396D"/>
    <w:rsid w:val="00185971"/>
    <w:rsid w:val="00186D81"/>
    <w:rsid w:val="00195793"/>
    <w:rsid w:val="00196415"/>
    <w:rsid w:val="001A434A"/>
    <w:rsid w:val="001A4F3B"/>
    <w:rsid w:val="001C600B"/>
    <w:rsid w:val="001D1C73"/>
    <w:rsid w:val="001D5E33"/>
    <w:rsid w:val="001F157C"/>
    <w:rsid w:val="002011D2"/>
    <w:rsid w:val="002073E4"/>
    <w:rsid w:val="00211B80"/>
    <w:rsid w:val="00244B4B"/>
    <w:rsid w:val="002541E7"/>
    <w:rsid w:val="00290346"/>
    <w:rsid w:val="00291957"/>
    <w:rsid w:val="002B3C98"/>
    <w:rsid w:val="002B4E50"/>
    <w:rsid w:val="002C5365"/>
    <w:rsid w:val="002C7A3F"/>
    <w:rsid w:val="002E7331"/>
    <w:rsid w:val="002F65C2"/>
    <w:rsid w:val="00303D97"/>
    <w:rsid w:val="00305B68"/>
    <w:rsid w:val="00321B6A"/>
    <w:rsid w:val="0034384D"/>
    <w:rsid w:val="003618D0"/>
    <w:rsid w:val="00362180"/>
    <w:rsid w:val="0036372D"/>
    <w:rsid w:val="003639DC"/>
    <w:rsid w:val="00370188"/>
    <w:rsid w:val="00376360"/>
    <w:rsid w:val="00390E5D"/>
    <w:rsid w:val="00395DBE"/>
    <w:rsid w:val="003A2E06"/>
    <w:rsid w:val="003A708D"/>
    <w:rsid w:val="003B3427"/>
    <w:rsid w:val="003B4BEF"/>
    <w:rsid w:val="003C0F18"/>
    <w:rsid w:val="003D4226"/>
    <w:rsid w:val="003E06BB"/>
    <w:rsid w:val="003F22D8"/>
    <w:rsid w:val="00413F25"/>
    <w:rsid w:val="00423A7E"/>
    <w:rsid w:val="0043553E"/>
    <w:rsid w:val="00450FF2"/>
    <w:rsid w:val="004513FC"/>
    <w:rsid w:val="004525BF"/>
    <w:rsid w:val="00456AA0"/>
    <w:rsid w:val="004633CF"/>
    <w:rsid w:val="00463844"/>
    <w:rsid w:val="004661AF"/>
    <w:rsid w:val="0046638A"/>
    <w:rsid w:val="004666FA"/>
    <w:rsid w:val="00466E75"/>
    <w:rsid w:val="004772E9"/>
    <w:rsid w:val="0048120D"/>
    <w:rsid w:val="004A4FD5"/>
    <w:rsid w:val="004B3312"/>
    <w:rsid w:val="004B6C86"/>
    <w:rsid w:val="004D012D"/>
    <w:rsid w:val="005113D1"/>
    <w:rsid w:val="00514EE4"/>
    <w:rsid w:val="0052661C"/>
    <w:rsid w:val="00553111"/>
    <w:rsid w:val="005822D6"/>
    <w:rsid w:val="00590CB3"/>
    <w:rsid w:val="00597E3C"/>
    <w:rsid w:val="005A3ABD"/>
    <w:rsid w:val="005A56A9"/>
    <w:rsid w:val="005B361B"/>
    <w:rsid w:val="005B7CE5"/>
    <w:rsid w:val="005C15C5"/>
    <w:rsid w:val="005C6768"/>
    <w:rsid w:val="005E4010"/>
    <w:rsid w:val="006153E2"/>
    <w:rsid w:val="00624760"/>
    <w:rsid w:val="00632159"/>
    <w:rsid w:val="00650EC1"/>
    <w:rsid w:val="00652780"/>
    <w:rsid w:val="006541CF"/>
    <w:rsid w:val="006913FA"/>
    <w:rsid w:val="00696CB1"/>
    <w:rsid w:val="006A5139"/>
    <w:rsid w:val="006C48F5"/>
    <w:rsid w:val="006C62D7"/>
    <w:rsid w:val="006C6A4E"/>
    <w:rsid w:val="006E6C2D"/>
    <w:rsid w:val="006F7153"/>
    <w:rsid w:val="006F7838"/>
    <w:rsid w:val="00700B3A"/>
    <w:rsid w:val="007070B8"/>
    <w:rsid w:val="007107E5"/>
    <w:rsid w:val="00721CA5"/>
    <w:rsid w:val="00724EB8"/>
    <w:rsid w:val="0073054A"/>
    <w:rsid w:val="00732DA2"/>
    <w:rsid w:val="00737836"/>
    <w:rsid w:val="007438C4"/>
    <w:rsid w:val="007460C0"/>
    <w:rsid w:val="007548C2"/>
    <w:rsid w:val="00756E83"/>
    <w:rsid w:val="007625F9"/>
    <w:rsid w:val="007648ED"/>
    <w:rsid w:val="00764E23"/>
    <w:rsid w:val="00764F12"/>
    <w:rsid w:val="007727BC"/>
    <w:rsid w:val="0078267D"/>
    <w:rsid w:val="007A1FA0"/>
    <w:rsid w:val="007B3736"/>
    <w:rsid w:val="007B7E0F"/>
    <w:rsid w:val="007C10F9"/>
    <w:rsid w:val="007C473B"/>
    <w:rsid w:val="007E2518"/>
    <w:rsid w:val="007F5282"/>
    <w:rsid w:val="00805E67"/>
    <w:rsid w:val="008073EE"/>
    <w:rsid w:val="00810F8D"/>
    <w:rsid w:val="00814062"/>
    <w:rsid w:val="00820F5B"/>
    <w:rsid w:val="00821820"/>
    <w:rsid w:val="00832E70"/>
    <w:rsid w:val="00844AEB"/>
    <w:rsid w:val="00844B76"/>
    <w:rsid w:val="00865088"/>
    <w:rsid w:val="00865DEB"/>
    <w:rsid w:val="00865EF1"/>
    <w:rsid w:val="00870BE7"/>
    <w:rsid w:val="008B52CB"/>
    <w:rsid w:val="008B63EC"/>
    <w:rsid w:val="008D06ED"/>
    <w:rsid w:val="008E051D"/>
    <w:rsid w:val="008E112A"/>
    <w:rsid w:val="008E5298"/>
    <w:rsid w:val="008E7FDE"/>
    <w:rsid w:val="008F7A34"/>
    <w:rsid w:val="0091613D"/>
    <w:rsid w:val="00916977"/>
    <w:rsid w:val="00921B22"/>
    <w:rsid w:val="009416C1"/>
    <w:rsid w:val="009418A1"/>
    <w:rsid w:val="00942094"/>
    <w:rsid w:val="00961FA9"/>
    <w:rsid w:val="00965DE9"/>
    <w:rsid w:val="00971A04"/>
    <w:rsid w:val="009A4CEC"/>
    <w:rsid w:val="009A658D"/>
    <w:rsid w:val="009A6CC0"/>
    <w:rsid w:val="009A7C16"/>
    <w:rsid w:val="009B18B7"/>
    <w:rsid w:val="009C2AD4"/>
    <w:rsid w:val="009C4F32"/>
    <w:rsid w:val="009D6DD0"/>
    <w:rsid w:val="00A074F5"/>
    <w:rsid w:val="00A24988"/>
    <w:rsid w:val="00A27210"/>
    <w:rsid w:val="00A32146"/>
    <w:rsid w:val="00A42E75"/>
    <w:rsid w:val="00A5040A"/>
    <w:rsid w:val="00A60133"/>
    <w:rsid w:val="00A822CA"/>
    <w:rsid w:val="00A85F91"/>
    <w:rsid w:val="00A94820"/>
    <w:rsid w:val="00A97368"/>
    <w:rsid w:val="00AB2952"/>
    <w:rsid w:val="00AB6FDF"/>
    <w:rsid w:val="00AE068A"/>
    <w:rsid w:val="00AE5ECB"/>
    <w:rsid w:val="00AF6B29"/>
    <w:rsid w:val="00B075FC"/>
    <w:rsid w:val="00B272F9"/>
    <w:rsid w:val="00B31472"/>
    <w:rsid w:val="00B4486A"/>
    <w:rsid w:val="00B50E00"/>
    <w:rsid w:val="00B664B5"/>
    <w:rsid w:val="00B77400"/>
    <w:rsid w:val="00B77DAD"/>
    <w:rsid w:val="00B841B8"/>
    <w:rsid w:val="00B96237"/>
    <w:rsid w:val="00BA3DF7"/>
    <w:rsid w:val="00BB46BB"/>
    <w:rsid w:val="00BD1D20"/>
    <w:rsid w:val="00BE578A"/>
    <w:rsid w:val="00BF3233"/>
    <w:rsid w:val="00C0456A"/>
    <w:rsid w:val="00C04695"/>
    <w:rsid w:val="00C3143E"/>
    <w:rsid w:val="00C37E64"/>
    <w:rsid w:val="00C433CC"/>
    <w:rsid w:val="00C47BEE"/>
    <w:rsid w:val="00C50F6F"/>
    <w:rsid w:val="00C6353C"/>
    <w:rsid w:val="00C677B0"/>
    <w:rsid w:val="00C705EE"/>
    <w:rsid w:val="00C840E4"/>
    <w:rsid w:val="00CC15BF"/>
    <w:rsid w:val="00CE7E19"/>
    <w:rsid w:val="00CF04B1"/>
    <w:rsid w:val="00CF5B05"/>
    <w:rsid w:val="00CF7960"/>
    <w:rsid w:val="00D13158"/>
    <w:rsid w:val="00D148B6"/>
    <w:rsid w:val="00D16E8C"/>
    <w:rsid w:val="00D35ED9"/>
    <w:rsid w:val="00D43895"/>
    <w:rsid w:val="00D45740"/>
    <w:rsid w:val="00D45939"/>
    <w:rsid w:val="00D5321E"/>
    <w:rsid w:val="00D549F5"/>
    <w:rsid w:val="00D66771"/>
    <w:rsid w:val="00D66EB8"/>
    <w:rsid w:val="00D71685"/>
    <w:rsid w:val="00D776E2"/>
    <w:rsid w:val="00D8200E"/>
    <w:rsid w:val="00D823CD"/>
    <w:rsid w:val="00D93A04"/>
    <w:rsid w:val="00DA6904"/>
    <w:rsid w:val="00DA7677"/>
    <w:rsid w:val="00DB2229"/>
    <w:rsid w:val="00DB36E2"/>
    <w:rsid w:val="00DC257F"/>
    <w:rsid w:val="00DE40FF"/>
    <w:rsid w:val="00DE4D79"/>
    <w:rsid w:val="00DF0599"/>
    <w:rsid w:val="00E07E74"/>
    <w:rsid w:val="00E15E73"/>
    <w:rsid w:val="00E16B8C"/>
    <w:rsid w:val="00E21F50"/>
    <w:rsid w:val="00E31992"/>
    <w:rsid w:val="00E323B1"/>
    <w:rsid w:val="00E4156D"/>
    <w:rsid w:val="00E50ADB"/>
    <w:rsid w:val="00E53D90"/>
    <w:rsid w:val="00E8008A"/>
    <w:rsid w:val="00E86AB8"/>
    <w:rsid w:val="00E91383"/>
    <w:rsid w:val="00EA18BD"/>
    <w:rsid w:val="00EB0688"/>
    <w:rsid w:val="00EB23EE"/>
    <w:rsid w:val="00EE3E27"/>
    <w:rsid w:val="00F133C9"/>
    <w:rsid w:val="00F17756"/>
    <w:rsid w:val="00F617A7"/>
    <w:rsid w:val="00F650A5"/>
    <w:rsid w:val="00F84CCA"/>
    <w:rsid w:val="00F854F7"/>
    <w:rsid w:val="00F944B1"/>
    <w:rsid w:val="00FA3913"/>
    <w:rsid w:val="00FA4228"/>
    <w:rsid w:val="00FC6008"/>
    <w:rsid w:val="00FD2493"/>
    <w:rsid w:val="00FD260E"/>
    <w:rsid w:val="00FD4351"/>
    <w:rsid w:val="00FE099A"/>
    <w:rsid w:val="010A1CEA"/>
    <w:rsid w:val="01497E58"/>
    <w:rsid w:val="01FB3A17"/>
    <w:rsid w:val="02B53F59"/>
    <w:rsid w:val="02E8631A"/>
    <w:rsid w:val="03016665"/>
    <w:rsid w:val="04687876"/>
    <w:rsid w:val="04F23DF4"/>
    <w:rsid w:val="062E5DB4"/>
    <w:rsid w:val="06540EC0"/>
    <w:rsid w:val="06806F27"/>
    <w:rsid w:val="06B0032D"/>
    <w:rsid w:val="06C673A5"/>
    <w:rsid w:val="06D43D9F"/>
    <w:rsid w:val="08CA084D"/>
    <w:rsid w:val="08D33AF9"/>
    <w:rsid w:val="0BBA7A57"/>
    <w:rsid w:val="0C564B55"/>
    <w:rsid w:val="0C7803A2"/>
    <w:rsid w:val="0D211850"/>
    <w:rsid w:val="0D2508BB"/>
    <w:rsid w:val="0E1B57AE"/>
    <w:rsid w:val="0EB038D4"/>
    <w:rsid w:val="0EC617D1"/>
    <w:rsid w:val="0ECF270F"/>
    <w:rsid w:val="0ED71153"/>
    <w:rsid w:val="10553F14"/>
    <w:rsid w:val="106612B1"/>
    <w:rsid w:val="1069278A"/>
    <w:rsid w:val="11E60C18"/>
    <w:rsid w:val="12183428"/>
    <w:rsid w:val="124D11B7"/>
    <w:rsid w:val="12831554"/>
    <w:rsid w:val="153003B6"/>
    <w:rsid w:val="154A6CBA"/>
    <w:rsid w:val="1625352A"/>
    <w:rsid w:val="1696065C"/>
    <w:rsid w:val="16A85221"/>
    <w:rsid w:val="16F64632"/>
    <w:rsid w:val="177E048D"/>
    <w:rsid w:val="180B5EE5"/>
    <w:rsid w:val="181B2B48"/>
    <w:rsid w:val="1831201E"/>
    <w:rsid w:val="1832309F"/>
    <w:rsid w:val="18651D0C"/>
    <w:rsid w:val="189A2AF9"/>
    <w:rsid w:val="1ADB385B"/>
    <w:rsid w:val="1AF5494F"/>
    <w:rsid w:val="1C89282D"/>
    <w:rsid w:val="1C934BD4"/>
    <w:rsid w:val="1CA44C71"/>
    <w:rsid w:val="1CB154E7"/>
    <w:rsid w:val="1D7A7BB3"/>
    <w:rsid w:val="1DB7548F"/>
    <w:rsid w:val="1E6F0CEC"/>
    <w:rsid w:val="1E917D34"/>
    <w:rsid w:val="1F391B17"/>
    <w:rsid w:val="20A97346"/>
    <w:rsid w:val="211F1734"/>
    <w:rsid w:val="230B6E11"/>
    <w:rsid w:val="23A01540"/>
    <w:rsid w:val="24AD6AC2"/>
    <w:rsid w:val="24D213CA"/>
    <w:rsid w:val="254F20D4"/>
    <w:rsid w:val="25D0780B"/>
    <w:rsid w:val="2605632B"/>
    <w:rsid w:val="269C135C"/>
    <w:rsid w:val="26D21D0B"/>
    <w:rsid w:val="2700322A"/>
    <w:rsid w:val="272760CB"/>
    <w:rsid w:val="27A26C29"/>
    <w:rsid w:val="27FD1F2D"/>
    <w:rsid w:val="280E6788"/>
    <w:rsid w:val="281F30AA"/>
    <w:rsid w:val="283F64D2"/>
    <w:rsid w:val="287F3E25"/>
    <w:rsid w:val="28C66939"/>
    <w:rsid w:val="28D40648"/>
    <w:rsid w:val="2ABE5D0F"/>
    <w:rsid w:val="2AF7339F"/>
    <w:rsid w:val="2BF45A4F"/>
    <w:rsid w:val="2C192387"/>
    <w:rsid w:val="2C666026"/>
    <w:rsid w:val="2CD72E55"/>
    <w:rsid w:val="2E403963"/>
    <w:rsid w:val="2F7E5015"/>
    <w:rsid w:val="305C08C6"/>
    <w:rsid w:val="31307E46"/>
    <w:rsid w:val="313B654C"/>
    <w:rsid w:val="31623839"/>
    <w:rsid w:val="31855B3B"/>
    <w:rsid w:val="31ED419A"/>
    <w:rsid w:val="32267BF6"/>
    <w:rsid w:val="322D6F7E"/>
    <w:rsid w:val="32AD4E1E"/>
    <w:rsid w:val="32DE7A2F"/>
    <w:rsid w:val="34EA1CD9"/>
    <w:rsid w:val="35FE48EF"/>
    <w:rsid w:val="367E6AA5"/>
    <w:rsid w:val="376E11E5"/>
    <w:rsid w:val="37756C56"/>
    <w:rsid w:val="38B66C29"/>
    <w:rsid w:val="39A11225"/>
    <w:rsid w:val="3A29564D"/>
    <w:rsid w:val="3ADD5A61"/>
    <w:rsid w:val="3B064203"/>
    <w:rsid w:val="3C0812EB"/>
    <w:rsid w:val="3C15346A"/>
    <w:rsid w:val="3C3E5D53"/>
    <w:rsid w:val="3C877726"/>
    <w:rsid w:val="3D5A6C34"/>
    <w:rsid w:val="3DCA0A57"/>
    <w:rsid w:val="3DD51CDF"/>
    <w:rsid w:val="40135628"/>
    <w:rsid w:val="40311A55"/>
    <w:rsid w:val="42411EC3"/>
    <w:rsid w:val="42786A9F"/>
    <w:rsid w:val="42C15097"/>
    <w:rsid w:val="43207FFB"/>
    <w:rsid w:val="43B92234"/>
    <w:rsid w:val="44627A14"/>
    <w:rsid w:val="448501F5"/>
    <w:rsid w:val="4501463F"/>
    <w:rsid w:val="450F6EC9"/>
    <w:rsid w:val="4553025C"/>
    <w:rsid w:val="45902C30"/>
    <w:rsid w:val="45E127A3"/>
    <w:rsid w:val="46D172DC"/>
    <w:rsid w:val="46E24700"/>
    <w:rsid w:val="46EB0BAA"/>
    <w:rsid w:val="47D97501"/>
    <w:rsid w:val="47FC6326"/>
    <w:rsid w:val="48325F07"/>
    <w:rsid w:val="48947B7C"/>
    <w:rsid w:val="4902188F"/>
    <w:rsid w:val="4932698B"/>
    <w:rsid w:val="49651A85"/>
    <w:rsid w:val="4A100266"/>
    <w:rsid w:val="4AD63B83"/>
    <w:rsid w:val="4AEB7705"/>
    <w:rsid w:val="4B5F1ACA"/>
    <w:rsid w:val="4BA77549"/>
    <w:rsid w:val="4BB33A45"/>
    <w:rsid w:val="4BE21E68"/>
    <w:rsid w:val="4C965B10"/>
    <w:rsid w:val="4D1F46CD"/>
    <w:rsid w:val="4D523E94"/>
    <w:rsid w:val="4D660CCA"/>
    <w:rsid w:val="4DF85167"/>
    <w:rsid w:val="4E687BD0"/>
    <w:rsid w:val="4E920EE8"/>
    <w:rsid w:val="4E940F48"/>
    <w:rsid w:val="4F8E6F3D"/>
    <w:rsid w:val="50010D38"/>
    <w:rsid w:val="506E3564"/>
    <w:rsid w:val="5100038B"/>
    <w:rsid w:val="51322C75"/>
    <w:rsid w:val="51727A41"/>
    <w:rsid w:val="53A45294"/>
    <w:rsid w:val="53BB3F06"/>
    <w:rsid w:val="53D37429"/>
    <w:rsid w:val="53E32073"/>
    <w:rsid w:val="54690408"/>
    <w:rsid w:val="546D3FC1"/>
    <w:rsid w:val="54763DA1"/>
    <w:rsid w:val="547D2BB0"/>
    <w:rsid w:val="54F32863"/>
    <w:rsid w:val="550208AB"/>
    <w:rsid w:val="55081975"/>
    <w:rsid w:val="556A62B0"/>
    <w:rsid w:val="563D4511"/>
    <w:rsid w:val="56685450"/>
    <w:rsid w:val="567A2E08"/>
    <w:rsid w:val="570D1A54"/>
    <w:rsid w:val="578E3E5A"/>
    <w:rsid w:val="57F3253C"/>
    <w:rsid w:val="58067A36"/>
    <w:rsid w:val="58510979"/>
    <w:rsid w:val="5924509F"/>
    <w:rsid w:val="593F592D"/>
    <w:rsid w:val="59F4652D"/>
    <w:rsid w:val="5A1E77DF"/>
    <w:rsid w:val="5BCE1707"/>
    <w:rsid w:val="5BEB79A6"/>
    <w:rsid w:val="5CDF620B"/>
    <w:rsid w:val="5D870AE1"/>
    <w:rsid w:val="5DD61471"/>
    <w:rsid w:val="5E657E3F"/>
    <w:rsid w:val="5F775274"/>
    <w:rsid w:val="5FC54764"/>
    <w:rsid w:val="5FF919ED"/>
    <w:rsid w:val="60847D93"/>
    <w:rsid w:val="6097730C"/>
    <w:rsid w:val="60C974C0"/>
    <w:rsid w:val="611120DF"/>
    <w:rsid w:val="611C7B0B"/>
    <w:rsid w:val="61894C48"/>
    <w:rsid w:val="619C5EAE"/>
    <w:rsid w:val="62457CBB"/>
    <w:rsid w:val="62634901"/>
    <w:rsid w:val="657353F8"/>
    <w:rsid w:val="65D97CE8"/>
    <w:rsid w:val="665F2DC0"/>
    <w:rsid w:val="667F4B8D"/>
    <w:rsid w:val="66D70002"/>
    <w:rsid w:val="68512933"/>
    <w:rsid w:val="687A2BEF"/>
    <w:rsid w:val="688B6C21"/>
    <w:rsid w:val="6915200C"/>
    <w:rsid w:val="69270B0D"/>
    <w:rsid w:val="695B414C"/>
    <w:rsid w:val="695E5992"/>
    <w:rsid w:val="69764179"/>
    <w:rsid w:val="6A0C6DF4"/>
    <w:rsid w:val="6A5D2647"/>
    <w:rsid w:val="6A602116"/>
    <w:rsid w:val="6AE724DA"/>
    <w:rsid w:val="6B0C717D"/>
    <w:rsid w:val="6B553451"/>
    <w:rsid w:val="6BC87B7D"/>
    <w:rsid w:val="6C1A620A"/>
    <w:rsid w:val="6C4900BB"/>
    <w:rsid w:val="6C4B2AC5"/>
    <w:rsid w:val="6C7B796C"/>
    <w:rsid w:val="6C8B3D81"/>
    <w:rsid w:val="6E1D047B"/>
    <w:rsid w:val="700A1FF8"/>
    <w:rsid w:val="70117660"/>
    <w:rsid w:val="70E24A84"/>
    <w:rsid w:val="711E1924"/>
    <w:rsid w:val="713779A1"/>
    <w:rsid w:val="71824D1A"/>
    <w:rsid w:val="71C35797"/>
    <w:rsid w:val="71FA3B7B"/>
    <w:rsid w:val="7249577F"/>
    <w:rsid w:val="7356684C"/>
    <w:rsid w:val="736031D2"/>
    <w:rsid w:val="73915953"/>
    <w:rsid w:val="73C52526"/>
    <w:rsid w:val="743D1F82"/>
    <w:rsid w:val="743F1D81"/>
    <w:rsid w:val="74496706"/>
    <w:rsid w:val="74781266"/>
    <w:rsid w:val="74D4644B"/>
    <w:rsid w:val="753315B0"/>
    <w:rsid w:val="75500F6D"/>
    <w:rsid w:val="756429C1"/>
    <w:rsid w:val="758571E4"/>
    <w:rsid w:val="75BC3906"/>
    <w:rsid w:val="76036252"/>
    <w:rsid w:val="764B71B3"/>
    <w:rsid w:val="76D83A02"/>
    <w:rsid w:val="76F32E41"/>
    <w:rsid w:val="770A1FE3"/>
    <w:rsid w:val="77832947"/>
    <w:rsid w:val="78365769"/>
    <w:rsid w:val="785E3A65"/>
    <w:rsid w:val="78921A3C"/>
    <w:rsid w:val="78924D9D"/>
    <w:rsid w:val="7A2C4743"/>
    <w:rsid w:val="7ACE7101"/>
    <w:rsid w:val="7B004E20"/>
    <w:rsid w:val="7B7509DB"/>
    <w:rsid w:val="7B846583"/>
    <w:rsid w:val="7B94645D"/>
    <w:rsid w:val="7BA93228"/>
    <w:rsid w:val="7BE11FD6"/>
    <w:rsid w:val="7C06596B"/>
    <w:rsid w:val="7C661891"/>
    <w:rsid w:val="7D11758D"/>
    <w:rsid w:val="7FFE4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3"/>
    <w:autoRedefine/>
    <w:qFormat/>
    <w:uiPriority w:val="99"/>
    <w:pPr>
      <w:keepNext/>
      <w:keepLines/>
      <w:widowControl w:val="0"/>
      <w:spacing w:before="340" w:after="330" w:line="578" w:lineRule="auto"/>
      <w:jc w:val="both"/>
      <w:outlineLvl w:val="0"/>
    </w:pPr>
    <w:rPr>
      <w:b/>
      <w:bCs/>
      <w:kern w:val="44"/>
      <w:sz w:val="44"/>
      <w:szCs w:val="44"/>
    </w:rPr>
  </w:style>
  <w:style w:type="paragraph" w:styleId="4">
    <w:name w:val="heading 4"/>
    <w:basedOn w:val="1"/>
    <w:next w:val="1"/>
    <w:link w:val="14"/>
    <w:autoRedefine/>
    <w:qFormat/>
    <w:uiPriority w:val="99"/>
    <w:pPr>
      <w:keepNext/>
      <w:keepLines/>
      <w:spacing w:before="280" w:after="290" w:line="376" w:lineRule="auto"/>
      <w:outlineLvl w:val="3"/>
    </w:pPr>
    <w:rPr>
      <w:rFonts w:ascii="Cambria" w:hAnsi="Cambria" w:cs="黑体"/>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locked/>
    <w:uiPriority w:val="99"/>
    <w:pPr>
      <w:jc w:val="center"/>
      <w:outlineLvl w:val="0"/>
    </w:pPr>
    <w:rPr>
      <w:rFonts w:ascii="Cambria" w:hAnsi="Cambria" w:cs="Cambria"/>
      <w:b/>
      <w:bCs/>
      <w:sz w:val="32"/>
      <w:szCs w:val="32"/>
    </w:rPr>
  </w:style>
  <w:style w:type="paragraph" w:styleId="5">
    <w:name w:val="Normal Indent"/>
    <w:basedOn w:val="1"/>
    <w:autoRedefine/>
    <w:qFormat/>
    <w:uiPriority w:val="99"/>
    <w:pPr>
      <w:ind w:firstLine="420" w:firstLineChars="200"/>
    </w:pPr>
  </w:style>
  <w:style w:type="paragraph" w:styleId="6">
    <w:name w:val="Body Text"/>
    <w:basedOn w:val="1"/>
    <w:autoRedefine/>
    <w:unhideWhenUsed/>
    <w:qFormat/>
    <w:uiPriority w:val="0"/>
    <w:pPr>
      <w:spacing w:after="120"/>
    </w:pPr>
  </w:style>
  <w:style w:type="paragraph" w:styleId="7">
    <w:name w:val="Balloon Text"/>
    <w:basedOn w:val="1"/>
    <w:link w:val="15"/>
    <w:autoRedefine/>
    <w:qFormat/>
    <w:uiPriority w:val="99"/>
    <w:rPr>
      <w:sz w:val="18"/>
      <w:szCs w:val="18"/>
    </w:rPr>
  </w:style>
  <w:style w:type="paragraph" w:styleId="8">
    <w:name w:val="footer"/>
    <w:basedOn w:val="1"/>
    <w:link w:val="16"/>
    <w:autoRedefine/>
    <w:qFormat/>
    <w:uiPriority w:val="99"/>
    <w:pPr>
      <w:tabs>
        <w:tab w:val="center" w:pos="4153"/>
        <w:tab w:val="right" w:pos="8306"/>
      </w:tabs>
      <w:snapToGrid w:val="0"/>
    </w:pPr>
    <w:rPr>
      <w:sz w:val="18"/>
      <w:szCs w:val="18"/>
    </w:rPr>
  </w:style>
  <w:style w:type="paragraph" w:styleId="9">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autoRedefine/>
    <w:qFormat/>
    <w:uiPriority w:val="0"/>
    <w:pPr>
      <w:ind w:firstLine="420" w:firstLineChars="100"/>
    </w:pPr>
  </w:style>
  <w:style w:type="character" w:customStyle="1" w:styleId="13">
    <w:name w:val="标题 1 Char"/>
    <w:basedOn w:val="12"/>
    <w:link w:val="3"/>
    <w:autoRedefine/>
    <w:qFormat/>
    <w:locked/>
    <w:uiPriority w:val="99"/>
    <w:rPr>
      <w:rFonts w:ascii="Times New Roman" w:hAnsi="Times New Roman" w:eastAsia="宋体" w:cs="Times New Roman"/>
      <w:b/>
      <w:bCs/>
      <w:kern w:val="44"/>
      <w:sz w:val="44"/>
      <w:szCs w:val="44"/>
    </w:rPr>
  </w:style>
  <w:style w:type="character" w:customStyle="1" w:styleId="14">
    <w:name w:val="标题 4 Char"/>
    <w:basedOn w:val="12"/>
    <w:link w:val="4"/>
    <w:autoRedefine/>
    <w:semiHidden/>
    <w:qFormat/>
    <w:uiPriority w:val="9"/>
    <w:rPr>
      <w:rFonts w:asciiTheme="majorHAnsi" w:hAnsiTheme="majorHAnsi" w:eastAsiaTheme="majorEastAsia" w:cstheme="majorBidi"/>
      <w:b/>
      <w:bCs/>
      <w:kern w:val="0"/>
      <w:sz w:val="28"/>
      <w:szCs w:val="28"/>
    </w:rPr>
  </w:style>
  <w:style w:type="character" w:customStyle="1" w:styleId="15">
    <w:name w:val="批注框文本 Char"/>
    <w:basedOn w:val="12"/>
    <w:link w:val="7"/>
    <w:autoRedefine/>
    <w:semiHidden/>
    <w:qFormat/>
    <w:locked/>
    <w:uiPriority w:val="99"/>
    <w:rPr>
      <w:rFonts w:ascii="Times New Roman" w:hAnsi="Times New Roman" w:cs="Times New Roman"/>
      <w:kern w:val="0"/>
      <w:sz w:val="18"/>
      <w:szCs w:val="18"/>
    </w:rPr>
  </w:style>
  <w:style w:type="character" w:customStyle="1" w:styleId="16">
    <w:name w:val="页脚 Char"/>
    <w:basedOn w:val="12"/>
    <w:link w:val="8"/>
    <w:autoRedefine/>
    <w:qFormat/>
    <w:locked/>
    <w:uiPriority w:val="99"/>
    <w:rPr>
      <w:rFonts w:ascii="Times New Roman" w:hAnsi="Times New Roman" w:cs="Times New Roman"/>
      <w:kern w:val="0"/>
      <w:sz w:val="18"/>
      <w:szCs w:val="18"/>
    </w:rPr>
  </w:style>
  <w:style w:type="character" w:customStyle="1" w:styleId="17">
    <w:name w:val="页眉 Char"/>
    <w:basedOn w:val="12"/>
    <w:link w:val="9"/>
    <w:autoRedefine/>
    <w:qFormat/>
    <w:locked/>
    <w:uiPriority w:val="99"/>
    <w:rPr>
      <w:rFonts w:ascii="Times New Roman" w:hAnsi="Times New Roman" w:cs="Times New Roman"/>
      <w:kern w:val="0"/>
      <w:sz w:val="18"/>
      <w:szCs w:val="18"/>
    </w:rPr>
  </w:style>
  <w:style w:type="paragraph" w:customStyle="1" w:styleId="18">
    <w:name w:val="列出段落1"/>
    <w:basedOn w:val="1"/>
    <w:autoRedefine/>
    <w:qFormat/>
    <w:uiPriority w:val="99"/>
    <w:pPr>
      <w:ind w:firstLine="420" w:firstLineChars="200"/>
    </w:pPr>
  </w:style>
  <w:style w:type="paragraph" w:customStyle="1" w:styleId="19">
    <w:name w:val="列出段落11"/>
    <w:basedOn w:val="1"/>
    <w:autoRedefine/>
    <w:qFormat/>
    <w:uiPriority w:val="99"/>
    <w:pPr>
      <w:ind w:firstLine="420" w:firstLineChars="200"/>
    </w:pPr>
  </w:style>
  <w:style w:type="paragraph" w:styleId="20">
    <w:name w:val="List Paragraph"/>
    <w:basedOn w:val="1"/>
    <w:autoRedefine/>
    <w:qFormat/>
    <w:uiPriority w:val="99"/>
    <w:pPr>
      <w:ind w:firstLine="420" w:firstLineChars="200"/>
    </w:pPr>
  </w:style>
  <w:style w:type="table" w:customStyle="1" w:styleId="21">
    <w:name w:val="网格型1"/>
    <w:basedOn w:val="22"/>
    <w:autoRedefine/>
    <w:qFormat/>
    <w:uiPriority w:val="0"/>
    <w:pPr>
      <w:widowControl w:val="0"/>
      <w:jc w:val="both"/>
    </w:pPr>
  </w:style>
  <w:style w:type="table" w:customStyle="1" w:styleId="22">
    <w:name w:val="普通表格1"/>
    <w:autoRedefine/>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4361</Words>
  <Characters>4596</Characters>
  <Lines>34</Lines>
  <Paragraphs>9</Paragraphs>
  <TotalTime>9</TotalTime>
  <ScaleCrop>false</ScaleCrop>
  <LinksUpToDate>false</LinksUpToDate>
  <CharactersWithSpaces>4685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2021-02-09T06:21:00Z</dcterms:created>
  <dc:creator>43507</dc:creator>
  <cp:lastModifiedBy>pc002</cp:lastModifiedBy>
  <cp:lastPrinted>2024-03-12T08:42:00Z</cp:lastPrinted>
  <dcterms:modified xsi:type="dcterms:W3CDTF">2024-03-21T09:35:13Z</dcterms:modified>
  <dc:title>宝胜（宁夏）线缆科技有限公司专项审计报告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F3A330019AFF48D69B6BF20781C2823A</vt:lpwstr>
  </property>
</Properties>
</file>