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 w:firstLineChars="50"/>
        <w:jc w:val="center"/>
        <w:rPr>
          <w:rFonts w:hint="eastAsia" w:ascii="方正小标宋_GBK" w:hAnsi="方正小标宋_GBK" w:eastAsia="方正小标宋_GBK" w:cs="方正小标宋_GBK"/>
          <w:sz w:val="44"/>
          <w:szCs w:val="44"/>
          <w:lang w:val="en-US" w:eastAsia="zh-CN"/>
        </w:rPr>
      </w:pP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灵武市宁东镇废弃矿山生态修复项目</w:t>
      </w:r>
    </w:p>
    <w:p>
      <w:pPr>
        <w:spacing w:line="560" w:lineRule="exact"/>
        <w:ind w:firstLine="220" w:firstLineChars="5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勘测工作技术服务单位比选须知</w:t>
      </w:r>
    </w:p>
    <w:p>
      <w:pPr>
        <w:snapToGrid w:val="0"/>
        <w:spacing w:line="560" w:lineRule="exact"/>
        <w:ind w:firstLine="640" w:firstLineChars="200"/>
        <w:rPr>
          <w:rFonts w:ascii="黑体" w:hAnsi="黑体" w:eastAsia="黑体" w:cs="黑体"/>
          <w:bCs/>
          <w:color w:val="000000"/>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一、项目概况</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lang w:val="en-US" w:eastAsia="zh-CN"/>
        </w:rPr>
        <w:t>工作</w:t>
      </w:r>
      <w:r>
        <w:rPr>
          <w:rFonts w:hint="eastAsia" w:ascii="仿宋_GB2312" w:hAnsi="宋体" w:eastAsia="仿宋_GB2312" w:cs="宋体"/>
          <w:b/>
          <w:bCs/>
          <w:color w:val="000000"/>
          <w:kern w:val="0"/>
          <w:sz w:val="32"/>
          <w:szCs w:val="32"/>
          <w:shd w:val="clear" w:color="auto" w:fill="FFFFFF"/>
        </w:rPr>
        <w:t>名称</w:t>
      </w:r>
      <w:r>
        <w:rPr>
          <w:rFonts w:hint="eastAsia" w:ascii="仿宋_GB2312" w:hAnsi="宋体" w:eastAsia="仿宋_GB2312" w:cs="宋体"/>
          <w:color w:val="000000"/>
          <w:kern w:val="0"/>
          <w:sz w:val="32"/>
          <w:szCs w:val="32"/>
          <w:shd w:val="clear" w:color="auto" w:fill="FFFFFF"/>
        </w:rPr>
        <w:t>：灵武市宁东镇废弃矿山生态修复项目勘测工作技术服务</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建设单位：</w:t>
      </w:r>
      <w:r>
        <w:rPr>
          <w:rFonts w:hint="eastAsia" w:ascii="仿宋_GB2312" w:hAnsi="宋体" w:eastAsia="仿宋_GB2312" w:cs="宋体"/>
          <w:color w:val="000000"/>
          <w:kern w:val="0"/>
          <w:sz w:val="32"/>
          <w:szCs w:val="32"/>
          <w:shd w:val="clear" w:color="auto" w:fill="FFFFFF"/>
        </w:rPr>
        <w:t>宁夏回族自治区宁东能源化工基地管理委员会</w:t>
      </w:r>
      <w:r>
        <w:rPr>
          <w:rFonts w:hint="eastAsia" w:ascii="仿宋_GB2312" w:hAnsi="宋体" w:eastAsia="仿宋_GB2312" w:cs="宋体"/>
          <w:color w:val="000000"/>
          <w:kern w:val="0"/>
          <w:sz w:val="32"/>
          <w:szCs w:val="32"/>
          <w:shd w:val="clear" w:color="auto" w:fill="FFFFFF"/>
          <w:lang w:val="en-US" w:eastAsia="zh-CN"/>
        </w:rPr>
        <w:t>自然资源</w:t>
      </w:r>
      <w:r>
        <w:rPr>
          <w:rFonts w:hint="eastAsia" w:ascii="仿宋_GB2312" w:hAnsi="宋体" w:eastAsia="仿宋_GB2312" w:cs="宋体"/>
          <w:color w:val="000000"/>
          <w:kern w:val="0"/>
          <w:sz w:val="32"/>
          <w:szCs w:val="32"/>
          <w:shd w:val="clear" w:color="auto" w:fill="FFFFFF"/>
        </w:rPr>
        <w:t>局</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eastAsia="仿宋_GB2312" w:cs="仿宋_GB2312"/>
          <w:sz w:val="32"/>
          <w:szCs w:val="32"/>
          <w:highlight w:val="none"/>
          <w:lang w:eastAsia="zh-CN"/>
        </w:rPr>
      </w:pPr>
      <w:r>
        <w:rPr>
          <w:rFonts w:hint="eastAsia" w:ascii="仿宋_GB2312" w:hAnsi="宋体" w:eastAsia="仿宋_GB2312" w:cs="宋体"/>
          <w:b/>
          <w:bCs/>
          <w:color w:val="000000"/>
          <w:kern w:val="0"/>
          <w:sz w:val="32"/>
          <w:szCs w:val="32"/>
          <w:highlight w:val="none"/>
          <w:shd w:val="clear" w:color="auto" w:fill="FFFFFF"/>
          <w:lang w:val="en-US" w:eastAsia="zh-CN"/>
        </w:rPr>
        <w:t>工作内容：</w:t>
      </w:r>
      <w:r>
        <w:rPr>
          <w:rFonts w:hint="eastAsia" w:ascii="仿宋_GB2312" w:hAnsi="楷体" w:eastAsia="仿宋_GB2312" w:cs="仿宋_GB2312"/>
          <w:sz w:val="32"/>
          <w:szCs w:val="32"/>
        </w:rPr>
        <w:t>完成</w:t>
      </w:r>
      <w:r>
        <w:rPr>
          <w:rFonts w:hint="eastAsia" w:ascii="仿宋_GB2312" w:hAnsi="楷体" w:eastAsia="仿宋_GB2312" w:cs="仿宋_GB2312"/>
          <w:sz w:val="32"/>
          <w:szCs w:val="32"/>
          <w:lang w:val="en-US" w:eastAsia="zh-CN"/>
        </w:rPr>
        <w:t>77</w:t>
      </w:r>
      <w:r>
        <w:rPr>
          <w:rFonts w:hint="eastAsia" w:ascii="仿宋_GB2312" w:hAnsi="楷体" w:eastAsia="仿宋_GB2312" w:cs="仿宋_GB2312"/>
          <w:sz w:val="32"/>
          <w:szCs w:val="32"/>
        </w:rPr>
        <w:t>处历史遗留废弃矿山图斑调查，</w:t>
      </w:r>
      <w:r>
        <w:rPr>
          <w:rFonts w:hint="eastAsia" w:ascii="仿宋_GB2312" w:hAnsi="楷体" w:eastAsia="仿宋_GB2312" w:cs="仿宋_GB2312"/>
          <w:sz w:val="32"/>
          <w:szCs w:val="32"/>
          <w:lang w:val="en-US" w:eastAsia="zh-CN"/>
        </w:rPr>
        <w:t>其中</w:t>
      </w:r>
      <w:r>
        <w:rPr>
          <w:rFonts w:hint="eastAsia" w:ascii="仿宋_GB2312" w:hAnsi="楷体" w:eastAsia="仿宋_GB2312" w:cs="仿宋_GB2312"/>
          <w:sz w:val="32"/>
          <w:szCs w:val="32"/>
        </w:rPr>
        <w:t>自然恢复</w:t>
      </w:r>
      <w:r>
        <w:rPr>
          <w:rFonts w:hint="eastAsia" w:ascii="仿宋_GB2312" w:hAnsi="楷体" w:eastAsia="仿宋_GB2312" w:cs="仿宋_GB2312"/>
          <w:sz w:val="32"/>
          <w:szCs w:val="32"/>
          <w:lang w:val="en-US" w:eastAsia="zh-CN"/>
        </w:rPr>
        <w:t>和已治理图斑需完成</w:t>
      </w:r>
      <w:r>
        <w:rPr>
          <w:rFonts w:hint="eastAsia" w:ascii="仿宋_GB2312" w:hAnsi="楷体" w:eastAsia="仿宋_GB2312" w:cs="仿宋_GB2312"/>
          <w:sz w:val="32"/>
          <w:szCs w:val="32"/>
        </w:rPr>
        <w:t>地理图斑调查</w:t>
      </w:r>
      <w:r>
        <w:rPr>
          <w:rFonts w:hint="eastAsia" w:ascii="仿宋_GB2312" w:hAnsi="楷体" w:eastAsia="仿宋_GB2312" w:cs="仿宋_GB2312"/>
          <w:sz w:val="32"/>
          <w:szCs w:val="32"/>
          <w:lang w:eastAsia="zh-CN"/>
        </w:rPr>
        <w:t>，</w:t>
      </w:r>
      <w:r>
        <w:rPr>
          <w:rFonts w:hint="eastAsia" w:ascii="仿宋_GB2312" w:hAnsi="楷体" w:eastAsia="仿宋_GB2312" w:cs="仿宋_GB2312"/>
          <w:sz w:val="32"/>
          <w:szCs w:val="32"/>
        </w:rPr>
        <w:t>为自然恢复认定</w:t>
      </w:r>
      <w:r>
        <w:rPr>
          <w:rFonts w:hint="eastAsia" w:ascii="仿宋_GB2312" w:hAnsi="楷体" w:eastAsia="仿宋_GB2312" w:cs="仿宋_GB2312"/>
          <w:sz w:val="32"/>
          <w:szCs w:val="32"/>
          <w:lang w:val="en-US" w:eastAsia="zh-CN"/>
        </w:rPr>
        <w:t>和整改销号</w:t>
      </w:r>
      <w:r>
        <w:rPr>
          <w:rFonts w:hint="eastAsia" w:ascii="仿宋_GB2312" w:hAnsi="楷体" w:eastAsia="仿宋_GB2312" w:cs="仿宋_GB2312"/>
          <w:sz w:val="32"/>
          <w:szCs w:val="32"/>
        </w:rPr>
        <w:t>验收提供数据支撑。</w:t>
      </w:r>
      <w:r>
        <w:rPr>
          <w:rFonts w:hint="eastAsia" w:ascii="仿宋_GB2312" w:hAnsi="楷体" w:eastAsia="仿宋_GB2312" w:cs="仿宋_GB2312"/>
          <w:sz w:val="32"/>
          <w:szCs w:val="32"/>
          <w:lang w:val="en-US" w:eastAsia="zh-CN"/>
        </w:rPr>
        <w:t>同时完成46处需治理修复的</w:t>
      </w:r>
      <w:r>
        <w:rPr>
          <w:rFonts w:hint="eastAsia" w:ascii="仿宋_GB2312" w:hAnsi="楷体" w:eastAsia="仿宋_GB2312" w:cs="仿宋_GB2312"/>
          <w:sz w:val="32"/>
          <w:szCs w:val="32"/>
        </w:rPr>
        <w:t>历史遗留废弃矿山图斑调查</w:t>
      </w:r>
      <w:r>
        <w:rPr>
          <w:rFonts w:hint="eastAsia" w:ascii="仿宋_GB2312" w:hAnsi="楷体" w:eastAsia="仿宋_GB2312" w:cs="仿宋_GB2312"/>
          <w:sz w:val="32"/>
          <w:szCs w:val="32"/>
          <w:lang w:eastAsia="zh-CN"/>
        </w:rPr>
        <w:t>，</w:t>
      </w:r>
      <w:r>
        <w:rPr>
          <w:rFonts w:hint="eastAsia" w:ascii="仿宋_GB2312" w:hAnsi="楷体" w:eastAsia="仿宋_GB2312" w:cs="仿宋_GB2312"/>
          <w:sz w:val="32"/>
          <w:szCs w:val="32"/>
          <w:lang w:val="en-US" w:eastAsia="zh-CN"/>
        </w:rPr>
        <w:t>包括但不限于</w:t>
      </w:r>
      <w:r>
        <w:rPr>
          <w:rFonts w:hint="eastAsia" w:ascii="仿宋_GB2312" w:hAnsi="楷体" w:eastAsia="仿宋_GB2312" w:cs="仿宋_GB2312"/>
          <w:sz w:val="32"/>
          <w:szCs w:val="32"/>
        </w:rPr>
        <w:t>前期测绘及无人机影像</w:t>
      </w:r>
      <w:r>
        <w:rPr>
          <w:rFonts w:hint="eastAsia" w:ascii="仿宋_GB2312" w:hAnsi="楷体" w:eastAsia="仿宋_GB2312" w:cs="仿宋_GB2312"/>
          <w:sz w:val="32"/>
          <w:szCs w:val="32"/>
          <w:lang w:val="en-US" w:eastAsia="zh-CN"/>
        </w:rPr>
        <w:t>处理及外业调查，需形成</w:t>
      </w:r>
      <w:r>
        <w:rPr>
          <w:rFonts w:hint="eastAsia" w:ascii="仿宋_GB2312" w:hAnsi="楷体" w:eastAsia="仿宋_GB2312" w:cs="仿宋_GB2312"/>
          <w:sz w:val="32"/>
          <w:szCs w:val="32"/>
        </w:rPr>
        <w:t>航测报告及无人机影像资料</w:t>
      </w:r>
      <w:r>
        <w:rPr>
          <w:rFonts w:hint="eastAsia" w:ascii="仿宋_GB2312" w:hAnsi="楷体" w:eastAsia="仿宋_GB2312" w:cs="仿宋_GB2312"/>
          <w:sz w:val="32"/>
          <w:szCs w:val="32"/>
          <w:lang w:eastAsia="zh-CN"/>
        </w:rPr>
        <w:t>，</w:t>
      </w:r>
      <w:r>
        <w:rPr>
          <w:rFonts w:hint="eastAsia" w:ascii="仿宋_GB2312" w:hAnsi="楷体" w:eastAsia="仿宋_GB2312" w:cs="仿宋_GB2312"/>
          <w:sz w:val="32"/>
          <w:szCs w:val="32"/>
        </w:rPr>
        <w:t>为项目可研、初设报告编制提供数据支撑。</w:t>
      </w:r>
      <w:r>
        <w:rPr>
          <w:rFonts w:hint="eastAsia" w:ascii="仿宋_GB2312" w:hAnsi="楷体" w:eastAsia="仿宋_GB2312" w:cs="仿宋_GB2312"/>
          <w:sz w:val="32"/>
          <w:szCs w:val="32"/>
          <w:lang w:eastAsia="zh-CN"/>
        </w:rPr>
        <w:t>外业航测</w:t>
      </w:r>
      <w:r>
        <w:rPr>
          <w:rFonts w:hint="eastAsia" w:ascii="仿宋_GB2312" w:hAnsi="楷体" w:eastAsia="仿宋_GB2312" w:cs="仿宋_GB2312"/>
          <w:sz w:val="32"/>
          <w:szCs w:val="32"/>
          <w:lang w:val="en-US" w:eastAsia="zh-CN"/>
        </w:rPr>
        <w:t>工作内容包括</w:t>
      </w:r>
      <w:r>
        <w:rPr>
          <w:rFonts w:hint="eastAsia" w:ascii="仿宋_GB2312" w:hAnsi="楷体" w:eastAsia="仿宋_GB2312" w:cs="仿宋_GB2312"/>
          <w:sz w:val="32"/>
          <w:szCs w:val="32"/>
          <w:lang w:eastAsia="zh-CN"/>
        </w:rPr>
        <w:t>项目区地形航测、项目区视频影像资料拍摄及禁飞区地块测量；内业合成数字正射影像(DOM)、数字高程模型(DEM)、</w:t>
      </w:r>
      <w:r>
        <w:rPr>
          <w:rFonts w:hint="eastAsia" w:ascii="仿宋_GB2312" w:eastAsia="仿宋_GB2312" w:cs="仿宋_GB2312"/>
          <w:sz w:val="32"/>
          <w:szCs w:val="32"/>
          <w:highlight w:val="none"/>
          <w:lang w:eastAsia="zh-CN"/>
        </w:rPr>
        <w:t>数字地表模型（DSM)</w:t>
      </w:r>
      <w:r>
        <w:rPr>
          <w:rFonts w:hint="eastAsia" w:ascii="仿宋_GB2312" w:eastAsia="仿宋_GB2312" w:cs="仿宋_GB2312"/>
          <w:sz w:val="32"/>
          <w:szCs w:val="32"/>
          <w:highlight w:val="none"/>
          <w:lang w:val="en-US" w:eastAsia="zh-CN"/>
        </w:rPr>
        <w:t>合成</w:t>
      </w:r>
      <w:r>
        <w:rPr>
          <w:rFonts w:hint="eastAsia" w:ascii="仿宋_GB2312" w:eastAsia="仿宋_GB2312" w:cs="仿宋_GB2312"/>
          <w:sz w:val="32"/>
          <w:szCs w:val="32"/>
          <w:highlight w:val="none"/>
          <w:lang w:eastAsia="zh-CN"/>
        </w:rPr>
        <w:t>；地形图绘制</w:t>
      </w:r>
      <w:r>
        <w:rPr>
          <w:rFonts w:hint="eastAsia" w:ascii="仿宋_GB2312" w:eastAsia="仿宋_GB2312" w:cs="仿宋_GB2312"/>
          <w:sz w:val="32"/>
          <w:szCs w:val="32"/>
          <w:highlight w:val="none"/>
          <w:lang w:val="en-US" w:eastAsia="zh-CN"/>
        </w:rPr>
        <w:t>工作包括</w:t>
      </w:r>
      <w:r>
        <w:rPr>
          <w:rFonts w:hint="eastAsia" w:ascii="仿宋_GB2312" w:eastAsia="仿宋_GB2312" w:cs="仿宋_GB2312"/>
          <w:sz w:val="32"/>
          <w:szCs w:val="32"/>
          <w:highlight w:val="none"/>
          <w:lang w:eastAsia="zh-CN"/>
        </w:rPr>
        <w:t>内业矢量数据采集、地形图绘制；</w:t>
      </w:r>
      <w:r>
        <w:rPr>
          <w:rFonts w:hint="eastAsia" w:ascii="仿宋_GB2312" w:eastAsia="仿宋_GB2312" w:cs="仿宋_GB2312"/>
          <w:sz w:val="32"/>
          <w:szCs w:val="32"/>
          <w:highlight w:val="none"/>
          <w:lang w:val="en-US" w:eastAsia="zh-CN"/>
        </w:rPr>
        <w:t>同时完成</w:t>
      </w:r>
      <w:r>
        <w:rPr>
          <w:rFonts w:hint="eastAsia" w:ascii="仿宋_GB2312" w:eastAsia="仿宋_GB2312" w:cs="仿宋_GB2312"/>
          <w:sz w:val="32"/>
          <w:szCs w:val="32"/>
          <w:highlight w:val="none"/>
          <w:lang w:eastAsia="zh-CN"/>
        </w:rPr>
        <w:t>成果质检、汇总、提交、存档</w:t>
      </w:r>
      <w:r>
        <w:rPr>
          <w:rFonts w:hint="eastAsia" w:ascii="仿宋_GB2312" w:eastAsia="仿宋_GB2312" w:cs="仿宋_GB2312"/>
          <w:sz w:val="32"/>
          <w:szCs w:val="32"/>
          <w:highlight w:val="none"/>
          <w:lang w:val="en-US" w:eastAsia="zh-CN"/>
        </w:rPr>
        <w:t>等相关工作</w:t>
      </w:r>
      <w:r>
        <w:rPr>
          <w:rFonts w:hint="eastAsia" w:asci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Cs/>
          <w:color w:val="000000"/>
          <w:sz w:val="32"/>
          <w:szCs w:val="32"/>
        </w:rPr>
      </w:pPr>
      <w:r>
        <w:rPr>
          <w:rFonts w:hint="eastAsia" w:ascii="黑体" w:hAnsi="黑体" w:eastAsia="黑体" w:cs="黑体"/>
          <w:color w:val="000000"/>
          <w:kern w:val="0"/>
          <w:sz w:val="32"/>
          <w:szCs w:val="32"/>
          <w:shd w:val="clear" w:color="auto" w:fill="FFFFFF"/>
        </w:rPr>
        <w:t>二、</w:t>
      </w:r>
      <w:r>
        <w:rPr>
          <w:rFonts w:hint="eastAsia" w:ascii="黑体" w:hAnsi="黑体" w:eastAsia="黑体" w:cs="黑体"/>
          <w:bCs/>
          <w:color w:val="000000"/>
          <w:sz w:val="32"/>
          <w:szCs w:val="32"/>
        </w:rPr>
        <w:t xml:space="preserve">参选人资格要求 </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（一）参选企业须具有独立法人资格，并同时具有行业主管部门颁发的测绘乙级</w:t>
      </w:r>
      <w:r>
        <w:rPr>
          <w:rFonts w:hint="eastAsia" w:ascii="仿宋_GB2312" w:hAnsi="宋体" w:eastAsia="仿宋_GB2312" w:cs="仿宋_GB2312"/>
          <w:color w:val="000000"/>
          <w:sz w:val="32"/>
          <w:szCs w:val="32"/>
          <w:shd w:val="clear" w:color="auto" w:fill="FFFFFF"/>
          <w:lang w:eastAsia="zh-CN"/>
        </w:rPr>
        <w:t>及</w:t>
      </w:r>
      <w:r>
        <w:rPr>
          <w:rFonts w:hint="eastAsia" w:ascii="仿宋_GB2312" w:hAnsi="宋体" w:eastAsia="仿宋_GB2312" w:cs="仿宋_GB2312"/>
          <w:color w:val="000000"/>
          <w:sz w:val="32"/>
          <w:szCs w:val="32"/>
          <w:shd w:val="clear" w:color="auto" w:fill="FFFFFF"/>
        </w:rPr>
        <w:t>以上资质</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专业类别为工程测量</w:t>
      </w:r>
      <w:r>
        <w:rPr>
          <w:rFonts w:hint="eastAsia" w:ascii="仿宋_GB2312" w:hAnsi="宋体" w:eastAsia="仿宋_GB2312" w:cs="仿宋_GB2312"/>
          <w:color w:val="000000"/>
          <w:sz w:val="32"/>
          <w:szCs w:val="32"/>
          <w:shd w:val="clear" w:color="auto" w:fill="FFFFFF"/>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hint="eastAsia" w:ascii="仿宋_GB2312" w:eastAsia="仿宋_GB2312" w:cs="仿宋_GB2312"/>
          <w:sz w:val="32"/>
          <w:szCs w:val="32"/>
        </w:rPr>
        <w:t>（二）</w:t>
      </w:r>
      <w:r>
        <w:rPr>
          <w:rFonts w:hint="eastAsia" w:ascii="仿宋_GB2312" w:hAnsi="宋体" w:eastAsia="仿宋_GB2312" w:cs="仿宋_GB2312"/>
          <w:color w:val="000000"/>
          <w:sz w:val="32"/>
          <w:szCs w:val="32"/>
          <w:shd w:val="clear" w:color="auto" w:fill="FFFFFF"/>
        </w:rPr>
        <w:t>具备良好的财务能力。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三</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rPr>
        <w:t>具备法律、行政法规规定的其他条件。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shd w:val="clear" w:color="auto" w:fill="FFFFFF"/>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四</w:t>
      </w:r>
      <w:r>
        <w:rPr>
          <w:rFonts w:hint="eastAsia" w:ascii="仿宋_GB2312" w:eastAsia="仿宋_GB2312" w:cs="仿宋_GB2312"/>
          <w:sz w:val="32"/>
          <w:szCs w:val="32"/>
        </w:rPr>
        <w:t>）</w:t>
      </w:r>
      <w:r>
        <w:rPr>
          <w:rFonts w:hint="eastAsia" w:ascii="仿宋_GB2312" w:hAnsi="宋体" w:eastAsia="仿宋_GB2312" w:cs="仿宋_GB2312"/>
          <w:color w:val="000000"/>
          <w:sz w:val="32"/>
          <w:szCs w:val="32"/>
          <w:shd w:val="clear" w:color="auto" w:fill="FFFFFF"/>
        </w:rPr>
        <w:t>单位负责人为同一人或者存在控股、管理关系的不同单位，不得同时参加本报名。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三、参选文件内容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提交参选文件应包括下列内容：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1.报价函及比选申请人承诺函（格式见附件）；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2.参选人基本情况（企业营业执照、资质证书</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近三年财务情况</w:t>
      </w:r>
      <w:r>
        <w:rPr>
          <w:rFonts w:hint="eastAsia" w:ascii="仿宋_GB2312" w:hAnsi="宋体" w:eastAsia="仿宋_GB2312" w:cs="宋体"/>
          <w:color w:val="000000"/>
          <w:kern w:val="0"/>
          <w:sz w:val="32"/>
          <w:szCs w:val="32"/>
          <w:shd w:val="clear" w:color="auto" w:fill="FFFFFF"/>
        </w:rPr>
        <w:t>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3.如参与比选的代表人不是法人，代表人需持有法定代表人签字盖章的《法定代表人授权书》原件（格式见附件）及参选代表人身份证</w:t>
      </w:r>
      <w:r>
        <w:rPr>
          <w:rFonts w:hint="eastAsia" w:ascii="仿宋_GB2312" w:hAnsi="宋体" w:eastAsia="仿宋_GB2312" w:cs="宋体"/>
          <w:color w:val="000000"/>
          <w:kern w:val="0"/>
          <w:sz w:val="32"/>
          <w:szCs w:val="32"/>
          <w:shd w:val="clear" w:color="auto" w:fill="FFFFFF"/>
          <w:lang w:val="en-US" w:eastAsia="zh-CN"/>
        </w:rPr>
        <w:t>明文件</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身份证</w:t>
      </w:r>
      <w:r>
        <w:rPr>
          <w:rFonts w:hint="eastAsia" w:ascii="仿宋_GB2312" w:hAnsi="宋体" w:eastAsia="仿宋_GB2312" w:cs="宋体"/>
          <w:color w:val="000000"/>
          <w:kern w:val="0"/>
          <w:sz w:val="32"/>
          <w:szCs w:val="32"/>
          <w:shd w:val="clear" w:color="auto" w:fill="FFFFFF"/>
        </w:rPr>
        <w:t>复印件加盖公章</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w:t>
      </w:r>
      <w:r>
        <w:rPr>
          <w:rFonts w:hint="eastAsia" w:ascii="仿宋_GB2312" w:hAnsi="仿宋_GB2312" w:eastAsia="仿宋_GB2312" w:cs="仿宋_GB2312"/>
          <w:sz w:val="32"/>
          <w:szCs w:val="32"/>
        </w:rPr>
        <w:t>业绩证明文件</w:t>
      </w:r>
      <w:r>
        <w:rPr>
          <w:rFonts w:hint="eastAsia" w:ascii="仿宋_GB2312" w:eastAsia="仿宋_GB2312" w:cs="仿宋_GB2312"/>
          <w:sz w:val="32"/>
          <w:szCs w:val="32"/>
        </w:rPr>
        <w:t>（合同复印件</w:t>
      </w:r>
      <w:r>
        <w:rPr>
          <w:rFonts w:hint="eastAsia" w:ascii="仿宋_GB2312" w:eastAsia="仿宋_GB2312" w:cs="仿宋_GB2312"/>
          <w:sz w:val="32"/>
          <w:szCs w:val="32"/>
          <w:lang w:val="en-US" w:eastAsia="zh-CN"/>
        </w:rPr>
        <w:t>加盖公章</w:t>
      </w:r>
      <w:r>
        <w:rPr>
          <w:rFonts w:hint="eastAsia" w:asci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5.</w:t>
      </w:r>
      <w:r>
        <w:rPr>
          <w:rFonts w:hint="eastAsia" w:ascii="仿宋_GB2312" w:hAnsi="宋体" w:eastAsia="仿宋_GB2312" w:cs="仿宋_GB2312"/>
          <w:color w:val="000000"/>
          <w:sz w:val="32"/>
          <w:szCs w:val="32"/>
          <w:shd w:val="clear" w:color="auto" w:fill="FFFFFF"/>
          <w:lang w:val="en-US" w:eastAsia="zh-CN"/>
        </w:rPr>
        <w:t>具备资质同等要求的</w:t>
      </w:r>
      <w:r>
        <w:rPr>
          <w:rFonts w:hint="eastAsia" w:ascii="仿宋_GB2312" w:hAnsi="宋体" w:eastAsia="仿宋_GB2312" w:cs="仿宋_GB2312"/>
          <w:color w:val="000000"/>
          <w:sz w:val="32"/>
          <w:szCs w:val="32"/>
          <w:shd w:val="clear" w:color="auto" w:fill="FFFFFF"/>
        </w:rPr>
        <w:t>人员</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名单并提供近三个月的社保缴纳证明</w:t>
      </w:r>
      <w:r>
        <w:rPr>
          <w:rFonts w:hint="eastAsia" w:ascii="仿宋_GB2312" w:hAnsi="宋体" w:eastAsia="仿宋_GB2312" w:cs="仿宋_GB2312"/>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6.拟</w:t>
      </w:r>
      <w:r>
        <w:rPr>
          <w:rFonts w:hint="eastAsia" w:ascii="仿宋_GB2312" w:hAnsi="宋体" w:eastAsia="仿宋_GB2312" w:cs="宋体"/>
          <w:color w:val="000000"/>
          <w:kern w:val="0"/>
          <w:sz w:val="32"/>
          <w:szCs w:val="32"/>
          <w:shd w:val="clear" w:color="auto" w:fill="FFFFFF"/>
        </w:rPr>
        <w:t>派驻现场</w:t>
      </w:r>
      <w:r>
        <w:rPr>
          <w:rFonts w:hint="eastAsia" w:ascii="仿宋_GB2312" w:hAnsi="宋体" w:eastAsia="仿宋_GB2312" w:cs="宋体"/>
          <w:color w:val="000000"/>
          <w:kern w:val="0"/>
          <w:sz w:val="32"/>
          <w:szCs w:val="32"/>
          <w:shd w:val="clear" w:color="auto" w:fill="FFFFFF"/>
          <w:lang w:val="en-US" w:eastAsia="zh-CN"/>
        </w:rPr>
        <w:t>的</w:t>
      </w:r>
      <w:r>
        <w:rPr>
          <w:rFonts w:hint="eastAsia" w:ascii="仿宋_GB2312" w:hAnsi="宋体" w:eastAsia="仿宋_GB2312" w:cs="宋体"/>
          <w:color w:val="000000"/>
          <w:kern w:val="0"/>
          <w:sz w:val="32"/>
          <w:szCs w:val="32"/>
          <w:shd w:val="clear" w:color="auto" w:fill="FFFFFF"/>
        </w:rPr>
        <w:t>主要</w:t>
      </w:r>
      <w:r>
        <w:rPr>
          <w:rFonts w:hint="eastAsia" w:ascii="仿宋_GB2312" w:hAnsi="宋体" w:eastAsia="仿宋_GB2312" w:cs="宋体"/>
          <w:color w:val="000000"/>
          <w:kern w:val="0"/>
          <w:sz w:val="32"/>
          <w:szCs w:val="32"/>
          <w:shd w:val="clear" w:color="auto" w:fill="FFFFFF"/>
          <w:lang w:eastAsia="zh-CN"/>
        </w:rPr>
        <w:t>工作</w:t>
      </w:r>
      <w:r>
        <w:rPr>
          <w:rFonts w:hint="eastAsia" w:ascii="仿宋_GB2312" w:hAnsi="宋体" w:eastAsia="仿宋_GB2312" w:cs="宋体"/>
          <w:color w:val="000000"/>
          <w:kern w:val="0"/>
          <w:sz w:val="32"/>
          <w:szCs w:val="32"/>
          <w:shd w:val="clear" w:color="auto" w:fill="FFFFFF"/>
        </w:rPr>
        <w:t>人员身份证复印件、专业证书复印件</w:t>
      </w:r>
      <w:r>
        <w:rPr>
          <w:rFonts w:hint="eastAsia" w:ascii="仿宋_GB2312" w:hAnsi="宋体" w:eastAsia="仿宋_GB2312" w:cs="宋体"/>
          <w:color w:val="000000"/>
          <w:kern w:val="0"/>
          <w:sz w:val="32"/>
          <w:szCs w:val="32"/>
          <w:shd w:val="clear" w:color="auto" w:fill="FFFFFF"/>
          <w:lang w:val="en-US" w:eastAsia="zh-CN"/>
        </w:rPr>
        <w:t>及</w:t>
      </w:r>
      <w:r>
        <w:rPr>
          <w:rFonts w:hint="eastAsia" w:ascii="仿宋_GB2312" w:hAnsi="宋体" w:eastAsia="仿宋_GB2312" w:cs="宋体"/>
          <w:color w:val="000000"/>
          <w:kern w:val="0"/>
          <w:sz w:val="32"/>
          <w:szCs w:val="32"/>
          <w:shd w:val="clear" w:color="auto" w:fill="FFFFFF"/>
        </w:rPr>
        <w:t>近三个月的社保缴纳证明；</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rPr>
        <w:t>.其他资料（方案</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获奖情况</w:t>
      </w:r>
      <w:r>
        <w:rPr>
          <w:rFonts w:hint="eastAsia" w:ascii="仿宋_GB2312" w:hAnsi="宋体" w:eastAsia="仿宋_GB2312" w:cs="宋体"/>
          <w:color w:val="000000"/>
          <w:kern w:val="0"/>
          <w:sz w:val="32"/>
          <w:szCs w:val="32"/>
          <w:shd w:val="clear" w:color="auto" w:fill="FFFFFF"/>
        </w:rPr>
        <w:t>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、报价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本次为</w:t>
      </w:r>
      <w:r>
        <w:rPr>
          <w:rFonts w:hint="eastAsia" w:ascii="仿宋_GB2312" w:hAnsi="宋体" w:eastAsia="仿宋_GB2312" w:cs="宋体"/>
          <w:kern w:val="0"/>
          <w:sz w:val="32"/>
          <w:szCs w:val="32"/>
          <w:highlight w:val="none"/>
          <w:lang w:val="en-US" w:eastAsia="zh-CN"/>
        </w:rPr>
        <w:t>总价</w:t>
      </w:r>
      <w:r>
        <w:rPr>
          <w:rFonts w:hint="eastAsia" w:ascii="仿宋_GB2312" w:hAnsi="宋体" w:eastAsia="仿宋_GB2312" w:cs="宋体"/>
          <w:kern w:val="0"/>
          <w:sz w:val="32"/>
          <w:szCs w:val="32"/>
          <w:highlight w:val="none"/>
        </w:rPr>
        <w:t>报价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rPr>
        <w:t>最高限价：</w:t>
      </w:r>
      <w:r>
        <w:rPr>
          <w:rFonts w:hint="eastAsia" w:ascii="仿宋_GB2312" w:hAnsi="宋体" w:eastAsia="仿宋_GB2312" w:cs="宋体"/>
          <w:kern w:val="0"/>
          <w:sz w:val="32"/>
          <w:szCs w:val="32"/>
          <w:lang w:val="en-US" w:eastAsia="zh-CN"/>
        </w:rPr>
        <w:t>60</w:t>
      </w:r>
      <w:r>
        <w:rPr>
          <w:rFonts w:hint="eastAsia" w:ascii="仿宋_GB2312" w:hAnsi="宋体" w:eastAsia="仿宋_GB2312" w:cs="宋体"/>
          <w:kern w:val="0"/>
          <w:sz w:val="32"/>
          <w:szCs w:val="32"/>
        </w:rPr>
        <w:t>0000元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大写：陆拾万元整</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lang w:val="en-US" w:eastAsia="zh-CN"/>
        </w:rPr>
        <w:t>五</w:t>
      </w:r>
      <w:r>
        <w:rPr>
          <w:rFonts w:hint="eastAsia" w:ascii="黑体" w:hAnsi="黑体" w:eastAsia="黑体" w:cs="黑体"/>
          <w:color w:val="000000"/>
          <w:kern w:val="0"/>
          <w:sz w:val="32"/>
          <w:szCs w:val="32"/>
          <w:highlight w:val="none"/>
          <w:shd w:val="clear" w:color="auto" w:fill="FFFFFF"/>
        </w:rPr>
        <w:t>、比选文件的份数和签署</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1.参加比选的参选人应按照比选文件的要求准备参选文件正本1份。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2.参选文件均需胶装打印、装订成册。由参选人的法定代表人或其授权委托代理人签字并加盖单位公章和骑缝章。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4.参选文件必须按要求用中文编写，所有报价及参与比选文件中所提的币种均为人民币，否则报价无效。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5.参选人应将其参选文件进行密封，在封面及密封袋上注明参选项目名称和参选人的名称、地址，并加盖单位公章。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6.如果参选文件未按上述要求进行密封和标注，将视为无效参选文件。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7.各参选单位代表必须在规定时间内递交参选文件至规定地点，否则视为无效参选。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shd w:val="clear" w:color="auto" w:fill="FFFFFF"/>
        </w:rPr>
        <w:t>六、</w:t>
      </w:r>
      <w:r>
        <w:rPr>
          <w:rFonts w:hint="eastAsia" w:ascii="黑体" w:hAnsi="黑体" w:eastAsia="黑体" w:cs="黑体"/>
          <w:color w:val="000000"/>
          <w:kern w:val="0"/>
          <w:sz w:val="32"/>
          <w:szCs w:val="32"/>
          <w:highlight w:val="none"/>
          <w:shd w:val="clear" w:color="auto" w:fill="FFFFFF"/>
        </w:rPr>
        <w:t>比选文件的提交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参选文件应在202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日1</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前提交至宁东基地管委会4楼3号会议室，202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日1</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之后不再接受参选文件。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七、公开比选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1.公开比选时间：2024年7月23日10:00时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2.公开比选地点：宁东管委会4楼3号会议室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rPr>
        <w:t>3.</w:t>
      </w:r>
      <w:r>
        <w:rPr>
          <w:rFonts w:hint="eastAsia" w:ascii="仿宋_GB2312" w:hAnsi="宋体" w:eastAsia="仿宋_GB2312" w:cs="宋体"/>
          <w:color w:val="000000"/>
          <w:kern w:val="0"/>
          <w:sz w:val="32"/>
          <w:szCs w:val="32"/>
          <w:shd w:val="clear" w:color="auto" w:fill="FFFFFF"/>
        </w:rPr>
        <w:t>比选程序：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（1）主持人宣布比选会议议程。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（2）介绍比选项目情况并宣读参选人名单。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（3）宣读比选纪律和注意事项。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（4）宣读评审委员会成员名单。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（5）参选文件递交。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（6）评审委员会按照比选原则、比选文件评选。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八</w:t>
      </w:r>
      <w:r>
        <w:rPr>
          <w:rFonts w:hint="eastAsia" w:ascii="黑体" w:hAnsi="黑体" w:eastAsia="黑体" w:cs="黑体"/>
          <w:color w:val="000000"/>
          <w:kern w:val="0"/>
          <w:sz w:val="32"/>
          <w:szCs w:val="32"/>
          <w:shd w:val="clear" w:color="auto" w:fill="FFFFFF"/>
        </w:rPr>
        <w:t>、比选原则及标准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（一）比选因素和指标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1.比选方法：综合评分法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评分小组组成：宁东管委会</w:t>
      </w:r>
      <w:r>
        <w:rPr>
          <w:rFonts w:hint="eastAsia" w:ascii="仿宋_GB2312" w:hAnsi="宋体" w:eastAsia="仿宋_GB2312" w:cs="宋体"/>
          <w:kern w:val="0"/>
          <w:sz w:val="32"/>
          <w:szCs w:val="32"/>
        </w:rPr>
        <w:t>自然资源局委派工作人员或专家组成，人数为3人或3人以上单数</w:t>
      </w:r>
      <w:r>
        <w:rPr>
          <w:rFonts w:hint="eastAsia" w:ascii="仿宋_GB2312" w:hAnsi="宋体" w:eastAsia="仿宋_GB2312" w:cs="宋体"/>
          <w:kern w:val="0"/>
          <w:sz w:val="32"/>
          <w:szCs w:val="32"/>
          <w:lang w:eastAsia="zh-CN"/>
        </w:rPr>
        <w:t>。</w:t>
      </w:r>
    </w:p>
    <w:tbl>
      <w:tblPr>
        <w:tblStyle w:val="6"/>
        <w:tblpPr w:leftFromText="180" w:rightFromText="180" w:vertAnchor="text" w:horzAnchor="page" w:tblpXSpec="center" w:tblpY="144"/>
        <w:tblOverlap w:val="never"/>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837"/>
        <w:gridCol w:w="1817"/>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920"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7"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评分项</w:t>
            </w:r>
          </w:p>
        </w:tc>
        <w:tc>
          <w:tcPr>
            <w:tcW w:w="1817"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分值区间</w:t>
            </w:r>
          </w:p>
        </w:tc>
        <w:tc>
          <w:tcPr>
            <w:tcW w:w="4174"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评分主要因素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exact"/>
          <w:jc w:val="center"/>
        </w:trPr>
        <w:tc>
          <w:tcPr>
            <w:tcW w:w="920"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837"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参选报价</w:t>
            </w:r>
          </w:p>
        </w:tc>
        <w:tc>
          <w:tcPr>
            <w:tcW w:w="1817" w:type="dxa"/>
            <w:vAlign w:val="center"/>
          </w:tcPr>
          <w:p>
            <w:pPr>
              <w:pageBreakBefore w:val="0"/>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20</w:t>
            </w:r>
          </w:p>
        </w:tc>
        <w:tc>
          <w:tcPr>
            <w:tcW w:w="4174" w:type="dxa"/>
            <w:vAlign w:val="center"/>
          </w:tcPr>
          <w:p>
            <w:pPr>
              <w:pageBreakBefore w:val="0"/>
              <w:kinsoku/>
              <w:wordWrap/>
              <w:overflowPunct/>
              <w:topLinePunct w:val="0"/>
              <w:bidi w:val="0"/>
              <w:adjustRightInd/>
              <w:snapToGrid w:val="0"/>
              <w:spacing w:line="56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rPr>
              <w:t>1、参选报价的合理性；</w:t>
            </w:r>
          </w:p>
          <w:p>
            <w:pPr>
              <w:pageBreakBefore w:val="0"/>
              <w:kinsoku/>
              <w:wordWrap/>
              <w:overflowPunct/>
              <w:topLinePunct w:val="0"/>
              <w:bidi w:val="0"/>
              <w:adjustRightInd/>
              <w:snapToGrid w:val="0"/>
              <w:spacing w:line="560" w:lineRule="exact"/>
              <w:jc w:val="left"/>
              <w:textAlignment w:val="auto"/>
              <w:rPr>
                <w:rFonts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、业主对其价格的承受能力；</w:t>
            </w:r>
          </w:p>
          <w:p>
            <w:pPr>
              <w:pageBreakBefore w:val="0"/>
              <w:kinsoku/>
              <w:wordWrap/>
              <w:overflowPunct/>
              <w:topLinePunct w:val="0"/>
              <w:bidi w:val="0"/>
              <w:adjustRightIn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、所有有效报价人报价平均值为基准价。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exact"/>
          <w:jc w:val="center"/>
        </w:trPr>
        <w:tc>
          <w:tcPr>
            <w:tcW w:w="920"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837"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宋体" w:eastAsia="仿宋_GB2312" w:cs="宋体"/>
                <w:kern w:val="0"/>
                <w:sz w:val="32"/>
                <w:szCs w:val="32"/>
              </w:rPr>
              <w:t>方案及服务</w:t>
            </w:r>
          </w:p>
        </w:tc>
        <w:tc>
          <w:tcPr>
            <w:tcW w:w="1817" w:type="dxa"/>
            <w:vAlign w:val="center"/>
          </w:tcPr>
          <w:p>
            <w:pPr>
              <w:pageBreakBefore w:val="0"/>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50</w:t>
            </w:r>
          </w:p>
        </w:tc>
        <w:tc>
          <w:tcPr>
            <w:tcW w:w="4174" w:type="dxa"/>
            <w:vAlign w:val="center"/>
          </w:tcPr>
          <w:p>
            <w:pPr>
              <w:pageBreakBefore w:val="0"/>
              <w:kinsoku/>
              <w:wordWrap/>
              <w:overflowPunct/>
              <w:topLinePunct w:val="0"/>
              <w:bidi w:val="0"/>
              <w:adjustRightInd/>
              <w:snapToGrid w:val="0"/>
              <w:spacing w:line="560" w:lineRule="exact"/>
              <w:textAlignment w:val="auto"/>
              <w:rPr>
                <w:rFonts w:ascii="仿宋_GB2312" w:hAnsi="宋体" w:eastAsia="仿宋_GB2312" w:cs="宋体"/>
                <w:kern w:val="0"/>
                <w:sz w:val="24"/>
              </w:rPr>
            </w:pPr>
            <w:r>
              <w:rPr>
                <w:rFonts w:hint="eastAsia" w:ascii="仿宋_GB2312" w:hAnsi="宋体" w:eastAsia="仿宋_GB2312" w:cs="宋体"/>
                <w:kern w:val="0"/>
                <w:sz w:val="24"/>
              </w:rPr>
              <w:t>1、比选方案的科学性、先进性、合理性等；</w:t>
            </w:r>
          </w:p>
          <w:p>
            <w:pPr>
              <w:pageBreakBefore w:val="0"/>
              <w:kinsoku/>
              <w:wordWrap/>
              <w:overflowPunct/>
              <w:topLinePunct w:val="0"/>
              <w:bidi w:val="0"/>
              <w:adjustRightInd/>
              <w:snapToGrid w:val="0"/>
              <w:spacing w:line="560" w:lineRule="exact"/>
              <w:textAlignment w:val="auto"/>
              <w:rPr>
                <w:rFonts w:ascii="仿宋_GB2312" w:hAnsi="宋体" w:eastAsia="仿宋_GB2312" w:cs="宋体"/>
                <w:kern w:val="0"/>
                <w:sz w:val="24"/>
              </w:rPr>
            </w:pPr>
            <w:r>
              <w:rPr>
                <w:rFonts w:hint="eastAsia" w:ascii="仿宋_GB2312" w:hAnsi="宋体" w:eastAsia="仿宋_GB2312" w:cs="宋体"/>
                <w:kern w:val="0"/>
                <w:sz w:val="24"/>
              </w:rPr>
              <w:t>2、满足本项目工期的安排是否合理；</w:t>
            </w:r>
          </w:p>
          <w:p>
            <w:pPr>
              <w:pageBreakBefore w:val="0"/>
              <w:kinsoku/>
              <w:wordWrap/>
              <w:overflowPunct/>
              <w:topLinePunct w:val="0"/>
              <w:bidi w:val="0"/>
              <w:adjustRightInd/>
              <w:snapToGrid w:val="0"/>
              <w:spacing w:line="560" w:lineRule="exact"/>
              <w:textAlignment w:val="auto"/>
              <w:rPr>
                <w:rFonts w:hint="eastAsia" w:ascii="仿宋_GB2312" w:hAnsi="宋体" w:eastAsia="仿宋_GB2312" w:cs="宋体"/>
                <w:kern w:val="0"/>
                <w:sz w:val="24"/>
                <w:lang w:eastAsia="zh-CN"/>
              </w:rPr>
            </w:pPr>
            <w:r>
              <w:rPr>
                <w:rFonts w:hint="eastAsia" w:ascii="仿宋_GB2312" w:hAnsi="宋体" w:eastAsia="仿宋_GB2312" w:cs="宋体"/>
                <w:kern w:val="0"/>
                <w:sz w:val="24"/>
              </w:rPr>
              <w:t>3、工期的保障措施是否可靠</w:t>
            </w:r>
            <w:r>
              <w:rPr>
                <w:rFonts w:hint="eastAsia" w:ascii="仿宋_GB2312" w:hAnsi="宋体" w:eastAsia="仿宋_GB2312" w:cs="宋体"/>
                <w:kern w:val="0"/>
                <w:sz w:val="24"/>
                <w:lang w:eastAsia="zh-CN"/>
              </w:rPr>
              <w:t>；</w:t>
            </w:r>
          </w:p>
          <w:p>
            <w:pPr>
              <w:pageBreakBefore w:val="0"/>
              <w:kinsoku/>
              <w:wordWrap/>
              <w:overflowPunct/>
              <w:topLinePunct w:val="0"/>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宋体" w:eastAsia="仿宋_GB2312" w:cs="宋体"/>
                <w:kern w:val="0"/>
                <w:sz w:val="24"/>
              </w:rPr>
              <w:t>4、具有一定的服务承诺</w:t>
            </w:r>
            <w:r>
              <w:rPr>
                <w:rFonts w:hint="eastAsia" w:ascii="仿宋_GB2312" w:hAnsi="宋体" w:eastAsia="仿宋_GB2312"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exact"/>
          <w:jc w:val="center"/>
        </w:trPr>
        <w:tc>
          <w:tcPr>
            <w:tcW w:w="920" w:type="dxa"/>
            <w:vAlign w:val="center"/>
          </w:tcPr>
          <w:p>
            <w:pPr>
              <w:pageBreakBefore w:val="0"/>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1837" w:type="dxa"/>
            <w:vAlign w:val="center"/>
          </w:tcPr>
          <w:p>
            <w:pPr>
              <w:pageBreakBefore w:val="0"/>
              <w:kinsoku/>
              <w:wordWrap/>
              <w:overflowPunct/>
              <w:topLinePunct w:val="0"/>
              <w:bidi w:val="0"/>
              <w:adjustRightInd/>
              <w:spacing w:line="560" w:lineRule="exact"/>
              <w:jc w:val="center"/>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企业资信、</w:t>
            </w:r>
            <w:r>
              <w:rPr>
                <w:rFonts w:hint="eastAsia" w:ascii="仿宋_GB2312" w:hAnsi="宋体" w:eastAsia="仿宋_GB2312" w:cs="宋体"/>
                <w:kern w:val="0"/>
                <w:sz w:val="32"/>
                <w:szCs w:val="32"/>
                <w:lang w:val="en-US" w:eastAsia="zh-CN"/>
              </w:rPr>
              <w:t>业绩情况</w:t>
            </w:r>
          </w:p>
        </w:tc>
        <w:tc>
          <w:tcPr>
            <w:tcW w:w="1817" w:type="dxa"/>
            <w:vAlign w:val="center"/>
          </w:tcPr>
          <w:p>
            <w:pPr>
              <w:pageBreakBefore w:val="0"/>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0-20</w:t>
            </w:r>
          </w:p>
        </w:tc>
        <w:tc>
          <w:tcPr>
            <w:tcW w:w="4174" w:type="dxa"/>
            <w:vAlign w:val="center"/>
          </w:tcPr>
          <w:p>
            <w:pPr>
              <w:pageBreakBefore w:val="0"/>
              <w:kinsoku/>
              <w:wordWrap/>
              <w:overflowPunct/>
              <w:topLinePunct w:val="0"/>
              <w:bidi w:val="0"/>
              <w:adjustRightInd/>
              <w:snapToGrid w:val="0"/>
              <w:spacing w:line="560" w:lineRule="exact"/>
              <w:textAlignment w:val="auto"/>
              <w:rPr>
                <w:rFonts w:hint="eastAsia" w:ascii="仿宋_GB2312" w:hAnsi="宋体" w:eastAsia="仿宋_GB2312" w:cs="宋体"/>
                <w:kern w:val="0"/>
                <w:sz w:val="24"/>
                <w:lang w:eastAsia="zh-CN"/>
              </w:rPr>
            </w:pPr>
            <w:r>
              <w:rPr>
                <w:rFonts w:hint="eastAsia" w:ascii="仿宋_GB2312" w:hAnsi="宋体" w:eastAsia="仿宋_GB2312" w:cs="宋体"/>
                <w:kern w:val="0"/>
                <w:sz w:val="24"/>
              </w:rPr>
              <w:t>1、企业综合实力及获奖状况</w:t>
            </w:r>
            <w:r>
              <w:rPr>
                <w:rFonts w:hint="eastAsia" w:ascii="仿宋_GB2312" w:hAnsi="宋体" w:eastAsia="仿宋_GB2312" w:cs="宋体"/>
                <w:kern w:val="0"/>
                <w:sz w:val="24"/>
                <w:lang w:eastAsia="zh-CN"/>
              </w:rPr>
              <w:t>；</w:t>
            </w:r>
          </w:p>
          <w:p>
            <w:pPr>
              <w:pageBreakBefore w:val="0"/>
              <w:kinsoku/>
              <w:wordWrap/>
              <w:overflowPunct/>
              <w:topLinePunct w:val="0"/>
              <w:bidi w:val="0"/>
              <w:adjustRightInd/>
              <w:snapToGrid w:val="0"/>
              <w:spacing w:line="560" w:lineRule="exact"/>
              <w:textAlignment w:val="auto"/>
              <w:rPr>
                <w:rFonts w:hint="default"/>
                <w:lang w:val="en-US" w:eastAsia="zh-CN"/>
              </w:rPr>
            </w:pPr>
            <w:r>
              <w:rPr>
                <w:rFonts w:hint="eastAsia" w:ascii="仿宋_GB2312" w:hAnsi="宋体" w:eastAsia="仿宋_GB2312" w:cs="宋体"/>
                <w:kern w:val="0"/>
                <w:sz w:val="24"/>
                <w:lang w:val="en-US" w:eastAsia="zh-CN"/>
              </w:rPr>
              <w:t>2、企业同类业绩情况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exact"/>
          <w:jc w:val="center"/>
        </w:trPr>
        <w:tc>
          <w:tcPr>
            <w:tcW w:w="920" w:type="dxa"/>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837" w:type="dxa"/>
            <w:vAlign w:val="center"/>
          </w:tcPr>
          <w:p>
            <w:pPr>
              <w:pageBreakBefore w:val="0"/>
              <w:kinsoku/>
              <w:wordWrap/>
              <w:overflowPunct/>
              <w:topLinePunct w:val="0"/>
              <w:bidi w:val="0"/>
              <w:adjustRightInd/>
              <w:spacing w:line="560"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人员因素</w:t>
            </w:r>
          </w:p>
        </w:tc>
        <w:tc>
          <w:tcPr>
            <w:tcW w:w="1817" w:type="dxa"/>
            <w:vAlign w:val="center"/>
          </w:tcPr>
          <w:p>
            <w:pPr>
              <w:pageBreakBefore w:val="0"/>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10</w:t>
            </w:r>
          </w:p>
        </w:tc>
        <w:tc>
          <w:tcPr>
            <w:tcW w:w="4174" w:type="dxa"/>
            <w:vAlign w:val="center"/>
          </w:tcPr>
          <w:p>
            <w:pPr>
              <w:pageBreakBefore w:val="0"/>
              <w:kinsoku/>
              <w:wordWrap/>
              <w:overflowPunct/>
              <w:topLinePunct w:val="0"/>
              <w:bidi w:val="0"/>
              <w:adjustRightInd/>
              <w:snapToGrid w:val="0"/>
              <w:spacing w:line="560" w:lineRule="exact"/>
              <w:textAlignment w:val="auto"/>
              <w:rPr>
                <w:rFonts w:ascii="仿宋_GB2312" w:hAnsi="宋体" w:eastAsia="仿宋_GB2312" w:cs="宋体"/>
                <w:kern w:val="0"/>
                <w:sz w:val="24"/>
              </w:rPr>
            </w:pPr>
            <w:r>
              <w:rPr>
                <w:rFonts w:hint="eastAsia" w:ascii="仿宋_GB2312" w:hAnsi="宋体" w:eastAsia="仿宋_GB2312" w:cs="宋体"/>
                <w:kern w:val="0"/>
                <w:sz w:val="24"/>
              </w:rPr>
              <w:t>1、拟投入本项目的</w:t>
            </w:r>
            <w:r>
              <w:rPr>
                <w:rFonts w:hint="eastAsia" w:ascii="仿宋_GB2312" w:hAnsi="宋体" w:eastAsia="仿宋_GB2312" w:cs="宋体"/>
                <w:kern w:val="0"/>
                <w:sz w:val="24"/>
                <w:lang w:eastAsia="zh-CN"/>
              </w:rPr>
              <w:t>技术人员</w:t>
            </w:r>
            <w:r>
              <w:rPr>
                <w:rFonts w:hint="eastAsia" w:ascii="仿宋_GB2312" w:hAnsi="宋体" w:eastAsia="仿宋_GB2312" w:cs="宋体"/>
                <w:kern w:val="0"/>
                <w:sz w:val="24"/>
              </w:rPr>
              <w:t>安排是否合理；</w:t>
            </w:r>
          </w:p>
          <w:p>
            <w:pPr>
              <w:pageBreakBefore w:val="0"/>
              <w:kinsoku/>
              <w:wordWrap/>
              <w:overflowPunct/>
              <w:topLinePunct w:val="0"/>
              <w:bidi w:val="0"/>
              <w:adjustRightInd/>
              <w:snapToGrid w:val="0"/>
              <w:spacing w:line="560" w:lineRule="exact"/>
              <w:textAlignment w:val="auto"/>
              <w:rPr>
                <w:rFonts w:ascii="仿宋_GB2312" w:hAnsi="宋体" w:eastAsia="仿宋_GB2312" w:cs="宋体"/>
                <w:kern w:val="0"/>
                <w:sz w:val="24"/>
              </w:rPr>
            </w:pPr>
            <w:r>
              <w:rPr>
                <w:rFonts w:hint="eastAsia" w:ascii="仿宋_GB2312" w:hAnsi="宋体" w:eastAsia="仿宋_GB2312" w:cs="宋体"/>
                <w:kern w:val="0"/>
                <w:sz w:val="24"/>
              </w:rPr>
              <w:t>2、拟投入本项目的主要</w:t>
            </w:r>
            <w:r>
              <w:rPr>
                <w:rFonts w:hint="eastAsia" w:ascii="仿宋_GB2312" w:hAnsi="宋体" w:eastAsia="仿宋_GB2312" w:cs="宋体"/>
                <w:kern w:val="0"/>
                <w:sz w:val="24"/>
                <w:lang w:eastAsia="zh-CN"/>
              </w:rPr>
              <w:t>负责人</w:t>
            </w:r>
            <w:r>
              <w:rPr>
                <w:rFonts w:hint="eastAsia" w:ascii="仿宋_GB2312" w:hAnsi="宋体" w:eastAsia="仿宋_GB2312" w:cs="宋体"/>
                <w:kern w:val="0"/>
                <w:sz w:val="24"/>
              </w:rPr>
              <w:t>资质情况，其他专业人员资质情况；</w:t>
            </w:r>
          </w:p>
          <w:p>
            <w:pPr>
              <w:pageBreakBefore w:val="0"/>
              <w:kinsoku/>
              <w:wordWrap/>
              <w:overflowPunct/>
              <w:topLinePunct w:val="0"/>
              <w:bidi w:val="0"/>
              <w:adjustRightInd/>
              <w:snapToGrid w:val="0"/>
              <w:spacing w:line="560" w:lineRule="exact"/>
              <w:textAlignment w:val="auto"/>
              <w:rPr>
                <w:rFonts w:hint="eastAsia" w:ascii="仿宋_GB2312" w:hAnsi="宋体" w:eastAsia="仿宋_GB2312" w:cs="宋体"/>
                <w:kern w:val="0"/>
                <w:sz w:val="24"/>
                <w:lang w:eastAsia="zh-CN"/>
              </w:rPr>
            </w:pPr>
            <w:r>
              <w:rPr>
                <w:rFonts w:hint="eastAsia" w:ascii="仿宋_GB2312" w:hAnsi="宋体" w:eastAsia="仿宋_GB2312" w:cs="宋体"/>
                <w:kern w:val="0"/>
                <w:sz w:val="24"/>
              </w:rPr>
              <w:t>3、拟任本项目负责人近三年业绩及获奖状况</w:t>
            </w:r>
            <w:r>
              <w:rPr>
                <w:rFonts w:hint="eastAsia" w:ascii="仿宋_GB2312" w:hAnsi="宋体" w:eastAsia="仿宋_GB2312"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4574" w:type="dxa"/>
            <w:gridSpan w:val="3"/>
            <w:vAlign w:val="center"/>
          </w:tcPr>
          <w:p>
            <w:pPr>
              <w:pageBreakBefore w:val="0"/>
              <w:kinsoku/>
              <w:wordWrap/>
              <w:overflowPunct/>
              <w:topLinePunct w:val="0"/>
              <w:bidi w:val="0"/>
              <w:adjustRightIn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总分</w:t>
            </w:r>
          </w:p>
        </w:tc>
        <w:tc>
          <w:tcPr>
            <w:tcW w:w="4174" w:type="dxa"/>
            <w:vAlign w:val="center"/>
          </w:tcPr>
          <w:p>
            <w:pPr>
              <w:pageBreakBefore w:val="0"/>
              <w:kinsoku/>
              <w:wordWrap/>
              <w:overflowPunct/>
              <w:topLinePunct w:val="0"/>
              <w:bidi w:val="0"/>
              <w:adjustRightInd/>
              <w:snapToGrid w:val="0"/>
              <w:spacing w:line="560" w:lineRule="exact"/>
              <w:jc w:val="center"/>
              <w:textAlignment w:val="auto"/>
              <w:rPr>
                <w:rFonts w:ascii="仿宋_GB2312" w:hAnsi="宋体" w:eastAsia="仿宋_GB2312" w:cs="宋体"/>
                <w:kern w:val="0"/>
                <w:sz w:val="24"/>
              </w:rPr>
            </w:pPr>
            <w:r>
              <w:rPr>
                <w:rFonts w:hint="eastAsia" w:ascii="仿宋_GB2312" w:hAnsi="仿宋_GB2312" w:eastAsia="仿宋_GB2312" w:cs="仿宋_GB2312"/>
                <w:sz w:val="32"/>
                <w:szCs w:val="32"/>
              </w:rPr>
              <w:t>100分</w:t>
            </w:r>
          </w:p>
        </w:tc>
      </w:tr>
    </w:tbl>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二</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中选人、中选价的确定</w:t>
      </w:r>
    </w:p>
    <w:p>
      <w:pPr>
        <w:pageBreakBefore w:val="0"/>
        <w:kinsoku/>
        <w:wordWrap/>
        <w:overflowPunct/>
        <w:topLinePunct w:val="0"/>
        <w:bidi w:val="0"/>
        <w:adjustRightInd/>
        <w:snapToGrid w:val="0"/>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1.由评分小组</w:t>
      </w:r>
      <w:r>
        <w:rPr>
          <w:rFonts w:hint="eastAsia" w:ascii="仿宋_GB2312" w:hAnsi="宋体" w:eastAsia="仿宋_GB2312" w:cs="宋体"/>
          <w:kern w:val="0"/>
          <w:sz w:val="32"/>
          <w:szCs w:val="32"/>
        </w:rPr>
        <w:t>对各参选单位的参选文件进行综合评议，得分高的前三名为中选候选人，并标明排列顺序。</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比选人应确定排名第一的中选候选人为中选人，如中选人因不可抗力或无故提出不能履行合同，比选人可以确定排名第二的中选候选人为中选人，依此类推。</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中选人确定后，中选价即中选人参选报价。</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经过监督单位确认的中选人由</w:t>
      </w:r>
      <w:r>
        <w:rPr>
          <w:rFonts w:hint="eastAsia" w:ascii="仿宋_GB2312" w:hAnsi="宋体" w:eastAsia="仿宋_GB2312" w:cs="宋体"/>
          <w:color w:val="000000"/>
          <w:kern w:val="0"/>
          <w:sz w:val="32"/>
          <w:szCs w:val="32"/>
          <w:shd w:val="clear" w:color="auto" w:fill="FFFFFF"/>
          <w:lang w:val="en-US" w:eastAsia="zh-CN"/>
        </w:rPr>
        <w:t>宁东管委会</w:t>
      </w:r>
      <w:r>
        <w:rPr>
          <w:rFonts w:hint="eastAsia" w:ascii="仿宋_GB2312" w:hAnsi="宋体" w:eastAsia="仿宋_GB2312" w:cs="宋体"/>
          <w:color w:val="000000"/>
          <w:kern w:val="0"/>
          <w:sz w:val="32"/>
          <w:szCs w:val="32"/>
          <w:shd w:val="clear" w:color="auto" w:fill="FFFFFF"/>
        </w:rPr>
        <w:t>自然资源局进行公示，公示期为3日历天，公示期后直接签订委托合同。</w:t>
      </w:r>
    </w:p>
    <w:p>
      <w:pPr>
        <w:pageBreakBefore w:val="0"/>
        <w:kinsoku/>
        <w:wordWrap/>
        <w:overflowPunct/>
        <w:topLinePunct w:val="0"/>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cs="黑体"/>
          <w:color w:val="000000"/>
          <w:kern w:val="0"/>
          <w:sz w:val="32"/>
          <w:szCs w:val="32"/>
          <w:shd w:val="clear" w:color="auto" w:fill="FFFFFF"/>
          <w:lang w:eastAsia="zh-CN"/>
        </w:rPr>
        <w:t>九</w:t>
      </w:r>
      <w:r>
        <w:rPr>
          <w:rFonts w:hint="eastAsia" w:ascii="黑体" w:hAnsi="黑体" w:eastAsia="黑体" w:cs="黑体"/>
          <w:color w:val="000000"/>
          <w:kern w:val="0"/>
          <w:sz w:val="32"/>
          <w:szCs w:val="32"/>
          <w:shd w:val="clear" w:color="auto" w:fill="FFFFFF"/>
        </w:rPr>
        <w:t>、</w:t>
      </w:r>
      <w:r>
        <w:rPr>
          <w:rFonts w:hint="eastAsia" w:ascii="黑体" w:hAnsi="黑体" w:eastAsia="黑体" w:cs="黑体"/>
          <w:sz w:val="32"/>
          <w:szCs w:val="32"/>
        </w:rPr>
        <w:t>评选纪律和注意事项</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（一）评审委员会评选过程中必须全程保密,任何人不得以任何形式透露给参选人或与参选人有关的单位或个人。</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（二）在比选过程中参选人必须根据评审委员会要求就有关问题进行澄清或说明。</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（三）对各参选人的商业秘密评审委员会成员应予以保密，不得泄露给其他参选人。</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四）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（五）特别说明：本次比选不设任何参选补偿，由此发生的所有费用均由参选人自行承担。参选单位按照最终中选人报价支付审核费用。</w:t>
      </w:r>
    </w:p>
    <w:p>
      <w:pPr>
        <w:pageBreakBefore w:val="0"/>
        <w:kinsoku/>
        <w:wordWrap/>
        <w:overflowPunct/>
        <w:topLinePunct w:val="0"/>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p>
    <w:p>
      <w:pPr>
        <w:pageBreakBefore w:val="0"/>
        <w:kinsoku/>
        <w:wordWrap/>
        <w:overflowPunct/>
        <w:topLinePunct w:val="0"/>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报价函</w:t>
      </w:r>
    </w:p>
    <w:p>
      <w:pPr>
        <w:pStyle w:val="3"/>
        <w:pageBreakBefore w:val="0"/>
        <w:kinsoku/>
        <w:wordWrap/>
        <w:overflowPunct/>
        <w:topLinePunct w:val="0"/>
        <w:bidi w:val="0"/>
        <w:adjustRightInd/>
        <w:spacing w:line="560" w:lineRule="exact"/>
        <w:ind w:firstLine="1280" w:firstLineChars="400"/>
        <w:textAlignment w:val="auto"/>
      </w:pPr>
      <w:r>
        <w:rPr>
          <w:rFonts w:hint="eastAsia" w:ascii="仿宋_GB2312" w:hAnsi="仿宋_GB2312" w:eastAsia="仿宋_GB2312" w:cs="仿宋_GB2312"/>
          <w:b w:val="0"/>
          <w:szCs w:val="32"/>
        </w:rPr>
        <w:t xml:space="preserve">  2.比选申请人</w:t>
      </w:r>
      <w:bookmarkStart w:id="0" w:name="_GoBack"/>
      <w:bookmarkEnd w:id="0"/>
      <w:r>
        <w:rPr>
          <w:rFonts w:hint="eastAsia" w:ascii="仿宋_GB2312" w:hAnsi="仿宋_GB2312" w:eastAsia="仿宋_GB2312" w:cs="仿宋_GB2312"/>
          <w:b w:val="0"/>
          <w:szCs w:val="32"/>
        </w:rPr>
        <w:t>承诺函</w:t>
      </w:r>
    </w:p>
    <w:p>
      <w:pPr>
        <w:pageBreakBefore w:val="0"/>
        <w:kinsoku/>
        <w:wordWrap/>
        <w:overflowPunct/>
        <w:topLinePunct w:val="0"/>
        <w:bidi w:val="0"/>
        <w:adjustRightInd/>
        <w:spacing w:line="560" w:lineRule="exact"/>
        <w:ind w:firstLine="1600" w:firstLineChars="500"/>
        <w:textAlignment w:val="auto"/>
        <w:rPr>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eastAsia="仿宋_GB2312" w:cs="仿宋_GB2312"/>
          <w:sz w:val="32"/>
          <w:szCs w:val="32"/>
        </w:rPr>
        <w:t>法定代表人授权书</w:t>
      </w:r>
    </w:p>
    <w:p>
      <w:pPr>
        <w:pageBreakBefore w:val="0"/>
        <w:kinsoku/>
        <w:wordWrap/>
        <w:overflowPunct/>
        <w:topLinePunct w:val="0"/>
        <w:bidi w:val="0"/>
        <w:adjustRightInd/>
        <w:spacing w:line="560" w:lineRule="exact"/>
        <w:ind w:firstLine="640"/>
        <w:textAlignment w:val="auto"/>
        <w:rPr>
          <w:rFonts w:ascii="仿宋_GB2312" w:eastAsia="仿宋_GB2312" w:cs="仿宋_GB2312"/>
          <w:sz w:val="32"/>
          <w:szCs w:val="32"/>
        </w:rPr>
      </w:pPr>
    </w:p>
    <w:p>
      <w:pPr>
        <w:pageBreakBefore w:val="0"/>
        <w:kinsoku/>
        <w:wordWrap/>
        <w:overflowPunct/>
        <w:topLinePunct w:val="0"/>
        <w:bidi w:val="0"/>
        <w:adjustRightInd/>
        <w:spacing w:line="560" w:lineRule="exact"/>
        <w:ind w:firstLine="640"/>
        <w:textAlignment w:val="auto"/>
        <w:rPr>
          <w:rFonts w:ascii="仿宋_GB2312" w:eastAsia="仿宋_GB2312" w:cs="仿宋_GB2312"/>
          <w:sz w:val="32"/>
          <w:szCs w:val="32"/>
        </w:rPr>
      </w:pPr>
    </w:p>
    <w:p>
      <w:pPr>
        <w:pageBreakBefore w:val="0"/>
        <w:kinsoku/>
        <w:wordWrap/>
        <w:overflowPunct/>
        <w:topLinePunct w:val="0"/>
        <w:bidi w:val="0"/>
        <w:adjustRightInd/>
        <w:spacing w:line="560" w:lineRule="exact"/>
        <w:ind w:firstLine="4160" w:firstLineChars="1300"/>
        <w:textAlignment w:val="auto"/>
        <w:rPr>
          <w:rFonts w:ascii="仿宋_GB2312" w:eastAsia="仿宋_GB2312" w:cs="仿宋_GB2312"/>
          <w:sz w:val="32"/>
          <w:szCs w:val="32"/>
        </w:rPr>
      </w:pPr>
      <w:r>
        <w:rPr>
          <w:rFonts w:hint="eastAsia" w:ascii="仿宋_GB2312" w:eastAsia="仿宋_GB2312" w:cs="仿宋_GB2312"/>
          <w:sz w:val="32"/>
          <w:szCs w:val="32"/>
        </w:rPr>
        <w:t>宁东管委会自然资源局</w:t>
      </w:r>
    </w:p>
    <w:p>
      <w:pPr>
        <w:pageBreakBefore w:val="0"/>
        <w:kinsoku/>
        <w:wordWrap/>
        <w:overflowPunct/>
        <w:topLinePunct w:val="0"/>
        <w:bidi w:val="0"/>
        <w:adjustRightInd/>
        <w:spacing w:line="560" w:lineRule="exact"/>
        <w:ind w:firstLine="4480" w:firstLineChars="1400"/>
        <w:textAlignment w:val="auto"/>
        <w:rPr>
          <w:b w:val="0"/>
          <w:bCs/>
        </w:rPr>
      </w:pP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日</w:t>
      </w:r>
    </w:p>
    <w:p>
      <w:pPr>
        <w:snapToGrid w:val="0"/>
        <w:spacing w:line="560" w:lineRule="exact"/>
        <w:ind w:firstLine="420" w:firstLineChars="20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魏碑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行楷_GBK">
    <w:panose1 w:val="02000000000000000000"/>
    <w:charset w:val="86"/>
    <w:family w:val="auto"/>
    <w:pitch w:val="default"/>
    <w:sig w:usb0="00000001" w:usb1="08000000" w:usb2="00000000" w:usb3="00000000" w:csb0="00040000" w:csb1="00000000"/>
  </w:font>
  <w:font w:name="汉仪元隆黑 35简">
    <w:panose1 w:val="00020600040101010101"/>
    <w:charset w:val="86"/>
    <w:family w:val="auto"/>
    <w:pitch w:val="default"/>
    <w:sig w:usb0="A00002BF" w:usb1="1ACF7CFA" w:usb2="00000016" w:usb3="00000000" w:csb0="0004009F" w:csb1="00000000"/>
  </w:font>
  <w:font w:name="汉仪字典宋">
    <w:panose1 w:val="01010104010101010101"/>
    <w:charset w:val="86"/>
    <w:family w:val="auto"/>
    <w:pitch w:val="default"/>
    <w:sig w:usb0="800002BF" w:usb1="004F7CFA" w:usb2="00000000" w:usb3="00000000" w:csb0="00040001" w:csb1="00000000"/>
  </w:font>
  <w:font w:name="汉仪平安行粗简">
    <w:panose1 w:val="00020600040101010101"/>
    <w:charset w:val="86"/>
    <w:family w:val="auto"/>
    <w:pitch w:val="default"/>
    <w:sig w:usb0="A00002BF" w:usb1="18EF7CFA" w:usb2="00000016" w:usb3="00000000" w:csb0="00040000" w:csb1="00000000"/>
  </w:font>
  <w:font w:name="汉仪楷体S">
    <w:panose1 w:val="00020600040101010101"/>
    <w:charset w:val="86"/>
    <w:family w:val="auto"/>
    <w:pitch w:val="default"/>
    <w:sig w:usb0="A00002BF" w:usb1="18EF7CFA" w:usb2="00000016" w:usb3="00000000" w:csb0="00040000" w:csb1="00000000"/>
  </w:font>
  <w:font w:name="汉仪中等线B5">
    <w:panose1 w:val="0101010401010101010B"/>
    <w:charset w:val="86"/>
    <w:family w:val="auto"/>
    <w:pitch w:val="default"/>
    <w:sig w:usb0="800000A3" w:usb1="00497878"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汉仪细圆B5">
    <w:panose1 w:val="02010600000101010101"/>
    <w:charset w:val="88"/>
    <w:family w:val="auto"/>
    <w:pitch w:val="default"/>
    <w:sig w:usb0="00000001" w:usb1="080E0800" w:usb2="00000002" w:usb3="00000000" w:csb0="00100000" w:csb1="00000000"/>
  </w:font>
  <w:font w:name="汉仪综艺体简">
    <w:panose1 w:val="02010600000101010101"/>
    <w:charset w:val="86"/>
    <w:family w:val="auto"/>
    <w:pitch w:val="default"/>
    <w:sig w:usb0="00000001" w:usb1="080E0800" w:usb2="00000002" w:usb3="00000000" w:csb0="00040000" w:csb1="00000000"/>
  </w:font>
  <w:font w:name="CESI宋体-GB13000">
    <w:panose1 w:val="02000500000000000000"/>
    <w:charset w:val="86"/>
    <w:family w:val="auto"/>
    <w:pitch w:val="default"/>
    <w:sig w:usb0="800002BF" w:usb1="18C77CF8" w:usb2="00000016" w:usb3="00000000" w:csb0="0004000F" w:csb1="00000000"/>
  </w:font>
  <w:font w:name="CESI楷体-GB13000">
    <w:panose1 w:val="02000500000000000000"/>
    <w:charset w:val="86"/>
    <w:family w:val="auto"/>
    <w:pitch w:val="default"/>
    <w:sig w:usb0="800002BF" w:usb1="38CF7CF8"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C5160"/>
    <w:rsid w:val="00135403"/>
    <w:rsid w:val="003C5160"/>
    <w:rsid w:val="00775038"/>
    <w:rsid w:val="00D76AC0"/>
    <w:rsid w:val="026659F0"/>
    <w:rsid w:val="04142A0F"/>
    <w:rsid w:val="0B3D575C"/>
    <w:rsid w:val="115A4B30"/>
    <w:rsid w:val="186E33F9"/>
    <w:rsid w:val="35677654"/>
    <w:rsid w:val="364112F7"/>
    <w:rsid w:val="3A874696"/>
    <w:rsid w:val="3B8C2381"/>
    <w:rsid w:val="3DCE0D69"/>
    <w:rsid w:val="3F6E10A9"/>
    <w:rsid w:val="3FFB0452"/>
    <w:rsid w:val="4296466B"/>
    <w:rsid w:val="461225E4"/>
    <w:rsid w:val="4EA25639"/>
    <w:rsid w:val="6081073A"/>
    <w:rsid w:val="62C27B96"/>
    <w:rsid w:val="65D84624"/>
    <w:rsid w:val="67926997"/>
    <w:rsid w:val="6D1622C3"/>
    <w:rsid w:val="76A35191"/>
    <w:rsid w:val="784E7C29"/>
    <w:rsid w:val="797C23F5"/>
    <w:rsid w:val="7DF6029C"/>
    <w:rsid w:val="7F947D6D"/>
    <w:rsid w:val="EBFF07CC"/>
    <w:rsid w:val="FFDB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两字）"/>
    <w:basedOn w:val="1"/>
    <w:qFormat/>
    <w:uiPriority w:val="0"/>
    <w:pPr>
      <w:spacing w:line="360" w:lineRule="auto"/>
      <w:ind w:firstLine="420"/>
    </w:pPr>
    <w:rPr>
      <w:rFonts w:cs="Calibri"/>
      <w:szCs w:val="28"/>
    </w:rPr>
  </w:style>
  <w:style w:type="paragraph" w:styleId="3">
    <w:name w:val="Body Text"/>
    <w:basedOn w:val="1"/>
    <w:next w:val="1"/>
    <w:qFormat/>
    <w:uiPriority w:val="0"/>
    <w:rPr>
      <w:rFonts w:ascii="Arial" w:hAnsi="Arial" w:eastAsia="黑体"/>
      <w:b/>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2023</Words>
  <Characters>2111</Characters>
  <Lines>1</Lines>
  <Paragraphs>2</Paragraphs>
  <TotalTime>4</TotalTime>
  <ScaleCrop>false</ScaleCrop>
  <LinksUpToDate>false</LinksUpToDate>
  <CharactersWithSpaces>2115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2019-11-29T03:23:00Z</dcterms:created>
  <dc:creator>妥。</dc:creator>
  <cp:lastModifiedBy>ndgwh</cp:lastModifiedBy>
  <dcterms:modified xsi:type="dcterms:W3CDTF">2024-07-17T16:16:14Z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E898A4320E524B4AAD59CEED857EED9A_13</vt:lpwstr>
  </property>
</Properties>
</file>