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kern w:val="0"/>
          <w:sz w:val="52"/>
          <w:szCs w:val="52"/>
        </w:rPr>
      </w:pPr>
      <w:r>
        <w:rPr>
          <w:rFonts w:hint="eastAsia" w:ascii="方正小标宋_GBK" w:hAnsi="方正小标宋_GBK" w:eastAsia="方正小标宋_GBK" w:cs="方正小标宋_GBK"/>
          <w:b w:val="0"/>
          <w:bCs/>
          <w:kern w:val="0"/>
          <w:sz w:val="52"/>
          <w:szCs w:val="52"/>
        </w:rPr>
        <w:t>201</w:t>
      </w:r>
      <w:r>
        <w:rPr>
          <w:rFonts w:hint="eastAsia" w:ascii="方正小标宋_GBK" w:hAnsi="方正小标宋_GBK" w:eastAsia="方正小标宋_GBK" w:cs="方正小标宋_GBK"/>
          <w:b w:val="0"/>
          <w:bCs/>
          <w:kern w:val="0"/>
          <w:sz w:val="52"/>
          <w:szCs w:val="52"/>
          <w:lang w:val="en-US" w:eastAsia="zh-CN"/>
        </w:rPr>
        <w:t>9</w:t>
      </w:r>
      <w:r>
        <w:rPr>
          <w:rFonts w:hint="eastAsia" w:ascii="方正小标宋_GBK" w:hAnsi="方正小标宋_GBK" w:eastAsia="方正小标宋_GBK" w:cs="方正小标宋_GBK"/>
          <w:b w:val="0"/>
          <w:bCs/>
          <w:kern w:val="0"/>
          <w:sz w:val="52"/>
          <w:szCs w:val="52"/>
        </w:rPr>
        <w:t>年度</w:t>
      </w: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kern w:val="0"/>
          <w:sz w:val="72"/>
          <w:szCs w:val="72"/>
        </w:rPr>
      </w:pP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spacing w:val="-23"/>
          <w:kern w:val="0"/>
          <w:sz w:val="52"/>
          <w:szCs w:val="52"/>
        </w:rPr>
      </w:pPr>
      <w:r>
        <w:rPr>
          <w:rFonts w:hint="eastAsia" w:ascii="方正小标宋_GBK" w:hAnsi="方正小标宋_GBK" w:eastAsia="方正小标宋_GBK" w:cs="方正小标宋_GBK"/>
          <w:b w:val="0"/>
          <w:bCs/>
          <w:spacing w:val="-23"/>
          <w:kern w:val="0"/>
          <w:sz w:val="52"/>
          <w:szCs w:val="52"/>
          <w:lang w:eastAsia="zh-CN"/>
        </w:rPr>
        <w:t>宁东管委会（本级）</w:t>
      </w:r>
      <w:r>
        <w:rPr>
          <w:rFonts w:hint="eastAsia" w:ascii="方正小标宋_GBK" w:hAnsi="方正小标宋_GBK" w:eastAsia="方正小标宋_GBK" w:cs="方正小标宋_GBK"/>
          <w:b w:val="0"/>
          <w:bCs/>
          <w:spacing w:val="-23"/>
          <w:kern w:val="0"/>
          <w:sz w:val="52"/>
          <w:szCs w:val="52"/>
        </w:rPr>
        <w:t>部门决算</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促进宁东基地经济社会又好又快发展，根据自治区党委、政府的决定，将自治区宁东能源化工基地建设领导小组办公室、中共银川市宁东能源化工基地工作委员会、银川市宁东能源化工基地管理委员会进行调整合并，于2011年成立宁夏回族自治区宁东能源化工基地管理委员会（以下简称：宁东管委会），单位性质为参照公务员</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rPr>
        <w:t>管理的事业单位，执行</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会计制度。</w:t>
      </w:r>
    </w:p>
    <w:p>
      <w:pPr>
        <w:widowControl/>
        <w:spacing w:line="560" w:lineRule="exact"/>
        <w:ind w:firstLine="640" w:firstLineChars="200"/>
        <w:jc w:val="left"/>
        <w:rPr>
          <w:rFonts w:hint="eastAsia" w:ascii="黑体" w:hAnsi="黑体" w:eastAsia="黑体" w:cs="宋体"/>
          <w:b/>
          <w:bCs/>
          <w:kern w:val="0"/>
          <w:sz w:val="32"/>
          <w:szCs w:val="32"/>
        </w:rPr>
      </w:pPr>
      <w:r>
        <w:rPr>
          <w:rFonts w:hint="eastAsia" w:ascii="黑体" w:hAnsi="黑体" w:eastAsia="黑体" w:cs="宋体"/>
          <w:bCs/>
          <w:kern w:val="0"/>
          <w:sz w:val="32"/>
          <w:szCs w:val="32"/>
        </w:rPr>
        <w:t>二、部门预算单位构成</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仿宋" w:eastAsia="仿宋_GB2312"/>
          <w:sz w:val="32"/>
          <w:szCs w:val="32"/>
        </w:rPr>
        <w:t>宁东能源化工基地管理委员会属于参照公务员</w:t>
      </w:r>
      <w:r>
        <w:rPr>
          <w:rFonts w:hint="eastAsia" w:ascii="仿宋_GB2312" w:hAnsi="仿宋" w:eastAsia="仿宋_GB2312"/>
          <w:sz w:val="32"/>
          <w:szCs w:val="32"/>
          <w:lang w:eastAsia="zh-CN"/>
        </w:rPr>
        <w:t>法</w:t>
      </w:r>
      <w:r>
        <w:rPr>
          <w:rFonts w:hint="eastAsia" w:ascii="仿宋_GB2312" w:hAnsi="仿宋" w:eastAsia="仿宋_GB2312"/>
          <w:sz w:val="32"/>
          <w:szCs w:val="32"/>
        </w:rPr>
        <w:t>管理的事业单位。</w:t>
      </w:r>
      <w:r>
        <w:rPr>
          <w:rFonts w:hint="eastAsia" w:ascii="仿宋_GB2312" w:hAnsi="仿宋_GB2312" w:eastAsia="仿宋_GB2312" w:cs="仿宋_GB2312"/>
          <w:sz w:val="32"/>
          <w:szCs w:val="32"/>
        </w:rPr>
        <w:t>我单位内设预算单位</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rPr>
        <w:t>纳入宁东能源化工基地管理委员会（本级）201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年部门决算编制的预算单位包括：</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1、宁东能源化工基地管理委员会办公室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2、宁东能源化工基地管理委员会党群工作部</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3、宁东能源化工基地管理委员会监察室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4、宁东能源化工基地管理委员会督查室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5、宁东能源化工基地管理委员会经济技术合作局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6、宁东能源化工基地管理委员会经济发展局</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7、宁东能源化工基地管理委员会战略规划</w:t>
      </w:r>
      <w:r>
        <w:rPr>
          <w:rFonts w:hint="eastAsia" w:ascii="仿宋_GB2312" w:hAnsi="宋体" w:eastAsia="仿宋_GB2312" w:cs="宋体"/>
          <w:kern w:val="0"/>
          <w:sz w:val="32"/>
          <w:szCs w:val="32"/>
          <w:lang w:eastAsia="zh-CN"/>
        </w:rPr>
        <w:t>研究室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8、宁东能源化工基地管理委员会规划建设土地局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9、宁东能源化工基地管理委员会社会事务局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10、宁东能源化工基地管理委员会环境保护局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11、宁东能源化工基地管理委员会财政</w:t>
      </w:r>
      <w:r>
        <w:rPr>
          <w:rFonts w:hint="eastAsia" w:ascii="仿宋_GB2312" w:hAnsi="宋体" w:eastAsia="仿宋_GB2312" w:cs="宋体"/>
          <w:kern w:val="0"/>
          <w:sz w:val="32"/>
          <w:szCs w:val="32"/>
          <w:lang w:eastAsia="zh-CN"/>
        </w:rPr>
        <w:t>审计</w:t>
      </w:r>
      <w:r>
        <w:rPr>
          <w:rFonts w:hint="eastAsia" w:ascii="仿宋_GB2312" w:hAnsi="宋体" w:eastAsia="仿宋_GB2312" w:cs="宋体"/>
          <w:kern w:val="0"/>
          <w:sz w:val="32"/>
          <w:szCs w:val="32"/>
        </w:rPr>
        <w:t>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、宁东能源化工基地管理委员会安全生产监督管理局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、宁东能源化工基地管理委员会综合执法局</w:t>
      </w: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4633"/>
        <w:gridCol w:w="795"/>
        <w:gridCol w:w="1864"/>
        <w:gridCol w:w="4235"/>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160"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6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633"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宁夏回族自治区宁东能源化工基地管理委员会</w:t>
            </w:r>
          </w:p>
        </w:tc>
        <w:tc>
          <w:tcPr>
            <w:tcW w:w="7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bookmarkStart w:id="0" w:name="_GoBack"/>
            <w:bookmarkEnd w:id="0"/>
          </w:p>
        </w:tc>
        <w:tc>
          <w:tcPr>
            <w:tcW w:w="18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6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550,334,857.94</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63,891,543.52</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163,333,574.13</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427,597.53</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6,370,000.00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200,000.00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9,343,918.90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4,867,066.66</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746,272.01</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10,499,684.58</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269,454,328.16</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5,910,301.37</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20,309,090.00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43,800,000.00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64" w:type="dxa"/>
            <w:tcBorders>
              <w:top w:val="nil"/>
              <w:left w:val="nil"/>
              <w:bottom w:val="single" w:color="auto"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1,194,000.00</w:t>
            </w:r>
          </w:p>
        </w:tc>
      </w:tr>
      <w:tr>
        <w:tblPrEx>
          <w:tblCellMar>
            <w:top w:w="0" w:type="dxa"/>
            <w:left w:w="108" w:type="dxa"/>
            <w:bottom w:w="0" w:type="dxa"/>
            <w:right w:w="108" w:type="dxa"/>
          </w:tblCellMar>
        </w:tblPrEx>
        <w:trPr>
          <w:trHeight w:val="266" w:hRule="exact"/>
          <w:jc w:val="center"/>
        </w:trPr>
        <w:tc>
          <w:tcPr>
            <w:tcW w:w="4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27,492,459.71</w:t>
            </w:r>
          </w:p>
        </w:tc>
      </w:tr>
      <w:tr>
        <w:tblPrEx>
          <w:tblCellMar>
            <w:top w:w="0" w:type="dxa"/>
            <w:left w:w="108" w:type="dxa"/>
            <w:bottom w:w="0" w:type="dxa"/>
            <w:right w:w="108" w:type="dxa"/>
          </w:tblCellMar>
        </w:tblPrEx>
        <w:trPr>
          <w:trHeight w:val="266" w:hRule="exact"/>
          <w:jc w:val="center"/>
        </w:trPr>
        <w:tc>
          <w:tcPr>
            <w:tcW w:w="463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64" w:type="dxa"/>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15,084,668.70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6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4,120,000.00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64" w:type="dxa"/>
            <w:tcBorders>
              <w:top w:val="nil"/>
              <w:left w:val="nil"/>
              <w:bottom w:val="single" w:color="000000" w:sz="4" w:space="0"/>
              <w:right w:val="nil"/>
            </w:tcBorders>
            <w:shd w:val="clear" w:color="auto" w:fill="auto"/>
            <w:vAlign w:val="center"/>
          </w:tcPr>
          <w:p>
            <w:pPr>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64" w:type="dxa"/>
            <w:tcBorders>
              <w:top w:val="nil"/>
              <w:left w:val="nil"/>
              <w:bottom w:val="single" w:color="000000" w:sz="4" w:space="0"/>
              <w:right w:val="nil"/>
            </w:tcBorders>
            <w:shd w:val="clear" w:color="auto" w:fill="auto"/>
            <w:vAlign w:val="center"/>
          </w:tcPr>
          <w:p>
            <w:pPr>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64"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559,678,776.84</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474,367,012.24</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64"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64"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57,810,750.20</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143,122,514.80</w:t>
            </w:r>
          </w:p>
        </w:tc>
      </w:tr>
      <w:tr>
        <w:tblPrEx>
          <w:tblCellMar>
            <w:top w:w="0" w:type="dxa"/>
            <w:left w:w="108" w:type="dxa"/>
            <w:bottom w:w="0" w:type="dxa"/>
            <w:right w:w="108" w:type="dxa"/>
          </w:tblCellMar>
        </w:tblPrEx>
        <w:trPr>
          <w:trHeight w:val="266" w:hRule="exact"/>
          <w:jc w:val="center"/>
        </w:trPr>
        <w:tc>
          <w:tcPr>
            <w:tcW w:w="4633"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64" w:type="dxa"/>
            <w:tcBorders>
              <w:top w:val="nil"/>
              <w:left w:val="nil"/>
              <w:bottom w:val="single" w:color="000000" w:sz="8" w:space="0"/>
              <w:right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617,489,527.04</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617,489,527.04</w:t>
            </w:r>
          </w:p>
        </w:tc>
      </w:tr>
    </w:tbl>
    <w:p>
      <w:pPr>
        <w:spacing w:line="240" w:lineRule="atLeast"/>
        <w:ind w:firstLine="360" w:firstLineChars="200"/>
        <w:jc w:val="left"/>
      </w:pPr>
      <w:r>
        <w:rPr>
          <w:rFonts w:hint="eastAsia" w:ascii="宋体" w:hAnsi="宋体" w:cs="Arial"/>
          <w:color w:val="000000"/>
          <w:kern w:val="0"/>
          <w:sz w:val="18"/>
          <w:szCs w:val="18"/>
        </w:rPr>
        <w:t>注：本表反映部门本年度的总收支和年末结余结转情况，数据取自财决01表</w:t>
      </w:r>
    </w:p>
    <w:tbl>
      <w:tblPr>
        <w:tblStyle w:val="4"/>
        <w:tblW w:w="15040" w:type="dxa"/>
        <w:tblInd w:w="0" w:type="dxa"/>
        <w:shd w:val="clear" w:color="auto" w:fill="auto"/>
        <w:tblLayout w:type="fixed"/>
        <w:tblCellMar>
          <w:top w:w="0" w:type="dxa"/>
          <w:left w:w="0" w:type="dxa"/>
          <w:bottom w:w="0" w:type="dxa"/>
          <w:right w:w="0" w:type="dxa"/>
        </w:tblCellMar>
      </w:tblPr>
      <w:tblGrid>
        <w:gridCol w:w="354"/>
        <w:gridCol w:w="427"/>
        <w:gridCol w:w="357"/>
        <w:gridCol w:w="2159"/>
        <w:gridCol w:w="1618"/>
        <w:gridCol w:w="1739"/>
        <w:gridCol w:w="1397"/>
        <w:gridCol w:w="1204"/>
        <w:gridCol w:w="1902"/>
        <w:gridCol w:w="1397"/>
        <w:gridCol w:w="995"/>
        <w:gridCol w:w="1491"/>
      </w:tblGrid>
      <w:tr>
        <w:tblPrEx>
          <w:shd w:val="clear" w:color="auto" w:fill="auto"/>
          <w:tblCellMar>
            <w:top w:w="0" w:type="dxa"/>
            <w:left w:w="0" w:type="dxa"/>
            <w:bottom w:w="0" w:type="dxa"/>
            <w:right w:w="0" w:type="dxa"/>
          </w:tblCellMar>
        </w:tblPrEx>
        <w:trPr>
          <w:trHeight w:val="1121" w:hRule="atLeast"/>
        </w:trPr>
        <w:tc>
          <w:tcPr>
            <w:tcW w:w="15040" w:type="dxa"/>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Arial" w:hAnsi="Arial" w:cs="Arial"/>
                <w:i w:val="0"/>
                <w:color w:val="000000"/>
                <w:sz w:val="20"/>
                <w:szCs w:val="20"/>
                <w:u w:val="none"/>
              </w:rPr>
            </w:pPr>
            <w:r>
              <w:rPr>
                <w:rFonts w:hint="eastAsia" w:ascii="方正小标宋_GBK" w:hAnsi="方正小标宋_GBK" w:eastAsia="方正小标宋_GBK" w:cs="方正小标宋_GBK"/>
                <w:i w:val="0"/>
                <w:color w:val="000000"/>
                <w:kern w:val="0"/>
                <w:sz w:val="40"/>
                <w:szCs w:val="40"/>
                <w:u w:val="none"/>
                <w:lang w:val="en-US" w:eastAsia="zh-CN" w:bidi="ar"/>
              </w:rPr>
              <w:t>收入决算表</w:t>
            </w:r>
          </w:p>
        </w:tc>
      </w:tr>
      <w:tr>
        <w:tblPrEx>
          <w:shd w:val="clear" w:color="auto" w:fill="auto"/>
          <w:tblCellMar>
            <w:top w:w="0" w:type="dxa"/>
            <w:left w:w="0" w:type="dxa"/>
            <w:bottom w:w="0" w:type="dxa"/>
            <w:right w:w="0" w:type="dxa"/>
          </w:tblCellMar>
        </w:tblPrEx>
        <w:trPr>
          <w:trHeight w:val="374" w:hRule="atLeast"/>
        </w:trPr>
        <w:tc>
          <w:tcPr>
            <w:tcW w:w="3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5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3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0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95" w:type="dxa"/>
            <w:tcBorders>
              <w:top w:val="nil"/>
              <w:left w:val="nil"/>
              <w:bottom w:val="nil"/>
              <w:right w:val="nil"/>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24"/>
                <w:szCs w:val="24"/>
                <w:u w:val="none"/>
              </w:rPr>
            </w:pPr>
          </w:p>
        </w:tc>
        <w:tc>
          <w:tcPr>
            <w:tcW w:w="149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shd w:val="clear" w:color="auto" w:fill="auto"/>
          <w:tblCellMar>
            <w:top w:w="0" w:type="dxa"/>
            <w:left w:w="0" w:type="dxa"/>
            <w:bottom w:w="0" w:type="dxa"/>
            <w:right w:w="0" w:type="dxa"/>
          </w:tblCellMar>
        </w:tblPrEx>
        <w:trPr>
          <w:trHeight w:val="374" w:hRule="atLeast"/>
        </w:trPr>
        <w:tc>
          <w:tcPr>
            <w:tcW w:w="13549"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公开部门：宁夏回族自治区宁东能源化工基地管理委员会（本级）</w:t>
            </w:r>
          </w:p>
        </w:tc>
        <w:tc>
          <w:tcPr>
            <w:tcW w:w="149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shd w:val="clear" w:color="auto" w:fill="auto"/>
          <w:tblCellMar>
            <w:top w:w="0" w:type="dxa"/>
            <w:left w:w="0" w:type="dxa"/>
            <w:bottom w:w="0" w:type="dxa"/>
            <w:right w:w="0" w:type="dxa"/>
          </w:tblCellMar>
        </w:tblPrEx>
        <w:trPr>
          <w:trHeight w:val="345" w:hRule="atLeast"/>
        </w:trPr>
        <w:tc>
          <w:tcPr>
            <w:tcW w:w="329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1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73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3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310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3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91" w:type="dxa"/>
            <w:vMerge w:val="restart"/>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32" w:hRule="atLeast"/>
        </w:trPr>
        <w:tc>
          <w:tcPr>
            <w:tcW w:w="113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1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90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其中：教育收费</w:t>
            </w:r>
          </w:p>
        </w:tc>
        <w:tc>
          <w:tcPr>
            <w:tcW w:w="13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1"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2" w:hRule="atLeast"/>
        </w:trPr>
        <w:tc>
          <w:tcPr>
            <w:tcW w:w="113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1"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2" w:hRule="atLeast"/>
        </w:trPr>
        <w:tc>
          <w:tcPr>
            <w:tcW w:w="113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1"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45" w:hRule="atLeast"/>
        </w:trPr>
        <w:tc>
          <w:tcPr>
            <w:tcW w:w="354"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2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35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3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1"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shd w:val="clear" w:color="auto" w:fill="auto"/>
          <w:tblCellMar>
            <w:top w:w="0" w:type="dxa"/>
            <w:left w:w="0" w:type="dxa"/>
            <w:bottom w:w="0" w:type="dxa"/>
            <w:right w:w="0" w:type="dxa"/>
          </w:tblCellMar>
        </w:tblPrEx>
        <w:trPr>
          <w:trHeight w:val="345" w:hRule="atLeast"/>
        </w:trPr>
        <w:tc>
          <w:tcPr>
            <w:tcW w:w="354"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559,678,776.84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550,334,857.94</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9,343,918.90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61,334,189.94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60,433,582.93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900,607.01</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35,177,276.83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34,960,895.91</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216,380.92</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23,346,694.54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23,315,777.37</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30,917.17</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11,620,514.19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11,435,050.44</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185,463.75</w:t>
            </w:r>
          </w:p>
        </w:tc>
      </w:tr>
      <w:tr>
        <w:tblPrEx>
          <w:shd w:val="clear" w:color="auto" w:fill="auto"/>
          <w:tblCellMar>
            <w:top w:w="0" w:type="dxa"/>
            <w:left w:w="0" w:type="dxa"/>
            <w:bottom w:w="0" w:type="dxa"/>
            <w:right w:w="0" w:type="dxa"/>
          </w:tblCellMar>
        </w:tblPrEx>
        <w:trPr>
          <w:trHeight w:val="984"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210,068.10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210,068.10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发展与改革事务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8,793,009.98</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8,417,878.79</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375,131.19</w:t>
            </w:r>
          </w:p>
        </w:tc>
      </w:tr>
      <w:tr>
        <w:tblPrEx>
          <w:shd w:val="clear" w:color="auto" w:fill="auto"/>
          <w:tblCellMar>
            <w:top w:w="0" w:type="dxa"/>
            <w:left w:w="0" w:type="dxa"/>
            <w:bottom w:w="0" w:type="dxa"/>
            <w:right w:w="0" w:type="dxa"/>
          </w:tblCellMar>
        </w:tblPrEx>
        <w:trPr>
          <w:trHeight w:val="458"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209,712.45</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90,716.26</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118,996.19</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3,427,355.04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3,427,355.04</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战略规划与实施</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3,287,807.49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3,140,807.49</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147,000.00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其他发展与改革事务支出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1,868,135.00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1,759,000.00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109,135.00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统计信息事务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6,395,276.00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6,395,276.00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11,864.00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11,864.00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2010504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6,383,412.00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6,383,412.00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890,836.54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879,270.00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11,566.54</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90,566.54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1,566.54</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790,270.00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790,270.00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2,289,270.00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2,289,270.00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1,349,270.00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1,349,270.00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纪检监察事务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202,002.50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202,002.50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174,219.00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174,219.00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1,798,976.19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1,798,265.06</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711.13</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25,425.16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25,414.03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1,773,551.03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1,772,851.03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1,784.86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1,784.86</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1,784.86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1,784.86</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5,785,757.04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5,490,724.67</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295,032.37</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67,397.12</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67,393.95</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295,575.20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546.00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295,029.20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2013105</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专项业务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984,297.53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984,297.53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984"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其他党委办公厅（室）及相关机构事务支出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4,438,487.19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4,438,487.19</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2040299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其他公安支出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科技交流与合作</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2060899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其他科技交流与合作支出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6,200,532.33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6,177,804.57</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22,727.76</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11,727.76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11,727.76</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11,727.76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11,727.76</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557,512.50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557,512.50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57,512.50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57,512.50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3,241,164.50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3,241,164.50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2,293,164.50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2,293,164.50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2,390,127.57</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2,379,127.57</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2,390,127.57</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2,379,127.57</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632,213.04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632,213.04</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632,213.04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632,213.04</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632,213.04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632,213.04</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42,169,926.02</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42,112,475.98</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57,450.04</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2,304,526.02</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2,247,075.98</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57,450.04</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85,915.28</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4,908.20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394,468.90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384,468.90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1,824,141.84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1,781,600.00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42,541.84</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建设项目环评审查与监督</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37,567,400.00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37,567,400.00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18,562,500.00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18,562,500.00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18,630,000.00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18,630,000.00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374,900.00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374,900.00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生态环境执法监察</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305,856,984.11</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301,197,672.71</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4,659,311.40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14,386,100.19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9,726,788.79</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4,659,311.40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425,323.85</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145,423.05</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279,900.80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城管执法</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8,465,957.24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8,465,689.64</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267.60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5,494,819.10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1,115,676.10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4,379,143.00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城乡社区公共设施</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124,158,747.00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124,158,747.00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2,389,947.00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2,389,947.00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121,768,800.00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121,768,800.00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建设市场管理与监督</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建设市场管理与监督</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161,413,574.13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161,413,574.13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102,621,836.13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102,621,836.13</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2120810</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984"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28,791,738.00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28,791,738.00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7,609,301.37</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3,910,301.37</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3,699,000.00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1,676,600.00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1,676,600.00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水利前期工作</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1,576,600.00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1,576,600.00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5,532,701.37</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3,699,000.00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5,532,701.37</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3,699,000.00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其他农村综合改革支出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20,309,090.00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20,309,090.00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公路水路运输</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公路建设</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其他交通运输支出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2149901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公共交通运营补助</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气象事务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2200511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气象基础设施建设与维修</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47,487,025.11</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47,487,025.11</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保障性安居工程支出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46,560,972.11</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46,560,972.11</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2210103</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43,401,126.56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43,401,126.56</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3,159,845.55</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3,159,845.55</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926,053.00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926,053.00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926,053.00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926,053.00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16,337,917.39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16,333,094.70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4,822.69</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应急管理事务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3,067,917.39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3,063,094.70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4,822.69</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2240101</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4,822.69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4,822.69</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2240106</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安全监管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958,284.70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958,284.70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2240108</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应急救援</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854,810.00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854,810.00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应急管理</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消防事务</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2240204</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消防应急救援</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6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2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5" w:hRule="atLeast"/>
        </w:trPr>
        <w:tc>
          <w:tcPr>
            <w:tcW w:w="1138" w:type="dxa"/>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215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618"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173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1397"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4"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2"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7"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5" w:hRule="atLeast"/>
        </w:trPr>
        <w:tc>
          <w:tcPr>
            <w:tcW w:w="3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5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1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3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0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35" w:hRule="atLeast"/>
        </w:trPr>
        <w:tc>
          <w:tcPr>
            <w:tcW w:w="8051" w:type="dxa"/>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注：本表反映部门本年度取得的各项收入情况，数据取自财决</w:t>
            </w:r>
            <w:r>
              <w:rPr>
                <w:rFonts w:hint="default" w:ascii="Arial" w:hAnsi="Arial" w:eastAsia="宋体" w:cs="Arial"/>
                <w:i w:val="0"/>
                <w:color w:val="000000"/>
                <w:kern w:val="0"/>
                <w:sz w:val="22"/>
                <w:szCs w:val="22"/>
                <w:u w:val="none"/>
                <w:lang w:val="en-US" w:eastAsia="zh-CN" w:bidi="ar"/>
              </w:rPr>
              <w:t>03</w:t>
            </w:r>
            <w:r>
              <w:rPr>
                <w:rFonts w:hint="eastAsia" w:ascii="宋体" w:hAnsi="宋体" w:eastAsia="宋体" w:cs="宋体"/>
                <w:i w:val="0"/>
                <w:color w:val="000000"/>
                <w:kern w:val="0"/>
                <w:sz w:val="22"/>
                <w:szCs w:val="22"/>
                <w:u w:val="none"/>
                <w:lang w:val="en-US" w:eastAsia="zh-CN" w:bidi="ar"/>
              </w:rPr>
              <w:t>表</w:t>
            </w:r>
          </w:p>
        </w:tc>
        <w:tc>
          <w:tcPr>
            <w:tcW w:w="12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0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bl>
    <w:p>
      <w:pPr>
        <w:spacing w:line="580" w:lineRule="exact"/>
      </w:pPr>
    </w:p>
    <w:tbl>
      <w:tblPr>
        <w:tblStyle w:val="4"/>
        <w:tblW w:w="15080" w:type="dxa"/>
        <w:tblInd w:w="0" w:type="dxa"/>
        <w:shd w:val="clear" w:color="auto" w:fill="auto"/>
        <w:tblLayout w:type="fixed"/>
        <w:tblCellMar>
          <w:top w:w="0" w:type="dxa"/>
          <w:left w:w="0" w:type="dxa"/>
          <w:bottom w:w="0" w:type="dxa"/>
          <w:right w:w="0" w:type="dxa"/>
        </w:tblCellMar>
      </w:tblPr>
      <w:tblGrid>
        <w:gridCol w:w="939"/>
        <w:gridCol w:w="947"/>
        <w:gridCol w:w="894"/>
        <w:gridCol w:w="3870"/>
        <w:gridCol w:w="1993"/>
        <w:gridCol w:w="1935"/>
        <w:gridCol w:w="1876"/>
        <w:gridCol w:w="981"/>
        <w:gridCol w:w="492"/>
        <w:gridCol w:w="1153"/>
      </w:tblGrid>
      <w:tr>
        <w:tblPrEx>
          <w:shd w:val="clear" w:color="auto" w:fill="auto"/>
          <w:tblCellMar>
            <w:top w:w="0" w:type="dxa"/>
            <w:left w:w="0" w:type="dxa"/>
            <w:bottom w:w="0" w:type="dxa"/>
            <w:right w:w="0" w:type="dxa"/>
          </w:tblCellMar>
        </w:tblPrEx>
        <w:trPr>
          <w:trHeight w:val="813" w:hRule="atLeast"/>
        </w:trPr>
        <w:tc>
          <w:tcPr>
            <w:tcW w:w="15080"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eastAsia" w:asciiTheme="minorEastAsia" w:hAnsiTheme="minorEastAsia" w:eastAsiaTheme="minorEastAsia" w:cstheme="minorEastAsia"/>
                <w:i w:val="0"/>
                <w:color w:val="000000"/>
                <w:kern w:val="0"/>
                <w:sz w:val="36"/>
                <w:szCs w:val="36"/>
                <w:u w:val="none"/>
                <w:lang w:val="en-US" w:eastAsia="zh-CN" w:bidi="ar"/>
              </w:rPr>
              <w:t>支出决算表</w:t>
            </w:r>
          </w:p>
        </w:tc>
      </w:tr>
      <w:tr>
        <w:tblPrEx>
          <w:shd w:val="clear" w:color="auto" w:fill="auto"/>
          <w:tblCellMar>
            <w:top w:w="0" w:type="dxa"/>
            <w:left w:w="0" w:type="dxa"/>
            <w:bottom w:w="0" w:type="dxa"/>
            <w:right w:w="0" w:type="dxa"/>
          </w:tblCellMar>
        </w:tblPrEx>
        <w:trPr>
          <w:trHeight w:val="434" w:hRule="atLeast"/>
        </w:trPr>
        <w:tc>
          <w:tcPr>
            <w:tcW w:w="93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94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9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9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7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9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shd w:val="clear" w:color="auto" w:fill="auto"/>
          <w:tblCellMar>
            <w:top w:w="0" w:type="dxa"/>
            <w:left w:w="0" w:type="dxa"/>
            <w:bottom w:w="0" w:type="dxa"/>
            <w:right w:w="0" w:type="dxa"/>
          </w:tblCellMar>
        </w:tblPrEx>
        <w:trPr>
          <w:trHeight w:val="438" w:hRule="atLeast"/>
        </w:trPr>
        <w:tc>
          <w:tcPr>
            <w:tcW w:w="15080"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公开部门：宁夏回族自治区宁东能源化工基地管理委员会（本级）                                                         金额单位：元</w:t>
            </w:r>
          </w:p>
        </w:tc>
      </w:tr>
      <w:tr>
        <w:tblPrEx>
          <w:shd w:val="clear" w:color="auto" w:fill="auto"/>
          <w:tblCellMar>
            <w:top w:w="0" w:type="dxa"/>
            <w:left w:w="0" w:type="dxa"/>
            <w:bottom w:w="0" w:type="dxa"/>
            <w:right w:w="0" w:type="dxa"/>
          </w:tblCellMar>
        </w:tblPrEx>
        <w:trPr>
          <w:trHeight w:val="367" w:hRule="atLeast"/>
        </w:trPr>
        <w:tc>
          <w:tcPr>
            <w:tcW w:w="66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9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8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4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153" w:type="dxa"/>
            <w:vMerge w:val="restart"/>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54" w:hRule="atLeast"/>
        </w:trPr>
        <w:tc>
          <w:tcPr>
            <w:tcW w:w="278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87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3"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54" w:hRule="atLeast"/>
        </w:trPr>
        <w:tc>
          <w:tcPr>
            <w:tcW w:w="278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3"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54" w:hRule="atLeast"/>
        </w:trPr>
        <w:tc>
          <w:tcPr>
            <w:tcW w:w="278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3"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7" w:hRule="atLeast"/>
        </w:trPr>
        <w:tc>
          <w:tcPr>
            <w:tcW w:w="939"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4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89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7" w:hRule="atLeast"/>
        </w:trPr>
        <w:tc>
          <w:tcPr>
            <w:tcW w:w="93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474,367,012.24</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29,523,997.12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444,843,015.12</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63,891,543.52</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23,762,274.88</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40,129,268.64</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35,486,238.42</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23,388,427.41</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12,097,811.01</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23,378,159.31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23,378,159.31</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11,898,011.01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11,898,011.01</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82"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210,068.10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10,268.10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发展与改革事务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11,097,822.44</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165,965.99</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10,931,856.45</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552"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115,588.91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115,588.91</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4,468,490.04</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4,468,490.04</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战略规划与实施</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3,386,807.49</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50,377.08</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3,336,430.41</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其他发展与改革事务支出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3,126,936.00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3,126,936.00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统计信息事务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6,395,276.00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6,395,276.00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11,864.00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11,864.00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2010504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6,383,412.00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6,383,412.00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1,070,832.72</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87,290.00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983,542.72</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87,290.00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87,290.00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790,270.00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790,270.00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193,272.72</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193,272.72</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2,015,563.71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2,015,563.71</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1,349,270.00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1,349,270.00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666,293.71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666,293.71</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纪检监察事务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202,002.50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174,219.00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174,219.00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174,219.00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1,798,153.06</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25,414.03</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1,772,739.03</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25,414.03</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25,414.03</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1,772,739.03</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1,772,739.03</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5,825,654.67</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67,393.95</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5,758,260.72</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67,393.95</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67,393.95</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332,626.00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332,626.00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2013105</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专项业务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987,147.53</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987,147.53</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82"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其他党委办公厅（室）及相关机构事务支出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4,438,487.19</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4,438,487.19</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2040299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其他公安支出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其他教育费附加安排的支出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科技交流与合作</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2060899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其他科技交流与合作支出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4,867,066.66</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3,509,866.66</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1,357,200.00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5,813.40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5,813.40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82"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5,813.40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5,813.40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557,512.50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57,512.50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57,512.50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57,512.50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2,930,001.20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2,930,001.20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1,982,001.20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1,982,001.20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1,373,739.56</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516,539.56</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857,200.00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1,373,739.56</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516,539.56</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857,200.00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706,700.21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706,700.21</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39,571.80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39,571.80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10,499,684.58</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10,418,677.50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2,247,075.98</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2,166,068.90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384,468.90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384,468.90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1,781,600.00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1,781,600.00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建设项目环评审查与监督</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5,954,608.60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5,954,608.60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5,319,708.60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5,319,708.60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374,900.00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374,900.00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生态环境执法监察</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269,454,328.16</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389,539.17</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269,064,788.99</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13,007,699.06</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389,539.17</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12,618,159.89</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184,233.75</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184,233.75</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城管执法</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8,477,690.21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205,305.42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8,272,384.79</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4,345,775.10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4,345,775.10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城乡社区公共设施</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90,248,332.78</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90,248,332.78</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4,182,173.94</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4,182,173.94</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86,066,158.84</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86,066,158.84</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建设市场管理与监督</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建设市场管理与监督</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82"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160,299,733.53</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160,299,733.53</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103,093,536.13</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103,093,536.13</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2120810</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28,414,459.40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28,414,459.40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682"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28,791,738.00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28,791,738.00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5,910,301.37</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5,910,301.37</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3,776,600.00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3,776,600.00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水利前期工作</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1,576,600.00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1,576,600.00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2130316</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农田水利</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其他农村综合改革支出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20,309,090.00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20,309,090.00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公路水路运输</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公路建设</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其他交通运输支出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2149901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公共交通运营补助</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气象事务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2200511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气象基础设施建设与维修</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27,492,459.71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26,560,972.11</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保障性安居工程支出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26,560,972.11</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26,560,972.11</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2210103</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23,401,126.56</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23,401,126.56</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3,159,845.55</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3,159,845.55</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15,084,668.70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103,549.72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14,981,118.98</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应急管理事务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1,814,668.70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103,549.72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1,711,118.98</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2240106</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安全监管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958,284.70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103,549.72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854,734.98</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2240108</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应急救援</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854,810.00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854,810.00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应急管理</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消防事务</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2240204</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消防应急救援</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3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7" w:hRule="atLeast"/>
        </w:trPr>
        <w:tc>
          <w:tcPr>
            <w:tcW w:w="2780" w:type="dxa"/>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387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993"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193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76"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981"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751" w:hRule="atLeast"/>
        </w:trPr>
        <w:tc>
          <w:tcPr>
            <w:tcW w:w="15080" w:type="dxa"/>
            <w:gridSpan w:val="10"/>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注：本表反映部门本年度各项支出情况，数据取自财决</w:t>
            </w:r>
            <w:r>
              <w:rPr>
                <w:rStyle w:val="8"/>
                <w:rFonts w:eastAsia="宋体"/>
                <w:lang w:val="en-US" w:eastAsia="zh-CN" w:bidi="ar"/>
              </w:rPr>
              <w:t>04</w:t>
            </w:r>
            <w:r>
              <w:rPr>
                <w:rStyle w:val="9"/>
                <w:lang w:val="en-US" w:eastAsia="zh-CN" w:bidi="ar"/>
              </w:rPr>
              <w:t>表</w:t>
            </w:r>
          </w:p>
        </w:tc>
      </w:tr>
    </w:tbl>
    <w:p>
      <w:pPr>
        <w:spacing w:line="580" w:lineRule="exact"/>
      </w:pPr>
    </w:p>
    <w:p>
      <w:pPr>
        <w:spacing w:line="580" w:lineRule="exact"/>
      </w:pPr>
    </w:p>
    <w:p>
      <w:pPr>
        <w:spacing w:line="580" w:lineRule="exact"/>
      </w:pPr>
    </w:p>
    <w:tbl>
      <w:tblPr>
        <w:tblStyle w:val="4"/>
        <w:tblW w:w="22479" w:type="dxa"/>
        <w:tblInd w:w="0" w:type="dxa"/>
        <w:shd w:val="clear" w:color="auto" w:fill="auto"/>
        <w:tblLayout w:type="fixed"/>
        <w:tblCellMar>
          <w:top w:w="0" w:type="dxa"/>
          <w:left w:w="0" w:type="dxa"/>
          <w:bottom w:w="0" w:type="dxa"/>
          <w:right w:w="0" w:type="dxa"/>
        </w:tblCellMar>
      </w:tblPr>
      <w:tblGrid>
        <w:gridCol w:w="90"/>
        <w:gridCol w:w="90"/>
        <w:gridCol w:w="679"/>
        <w:gridCol w:w="165"/>
        <w:gridCol w:w="90"/>
        <w:gridCol w:w="540"/>
        <w:gridCol w:w="782"/>
        <w:gridCol w:w="1333"/>
        <w:gridCol w:w="47"/>
        <w:gridCol w:w="163"/>
        <w:gridCol w:w="1392"/>
        <w:gridCol w:w="576"/>
        <w:gridCol w:w="538"/>
        <w:gridCol w:w="680"/>
        <w:gridCol w:w="459"/>
        <w:gridCol w:w="759"/>
        <w:gridCol w:w="336"/>
        <w:gridCol w:w="290"/>
        <w:gridCol w:w="848"/>
        <w:gridCol w:w="1592"/>
        <w:gridCol w:w="63"/>
        <w:gridCol w:w="852"/>
        <w:gridCol w:w="772"/>
        <w:gridCol w:w="2166"/>
        <w:gridCol w:w="47"/>
      </w:tblGrid>
      <w:tr>
        <w:tblPrEx>
          <w:shd w:val="clear" w:color="auto" w:fill="auto"/>
          <w:tblCellMar>
            <w:top w:w="0" w:type="dxa"/>
            <w:left w:w="0" w:type="dxa"/>
            <w:bottom w:w="0" w:type="dxa"/>
            <w:right w:w="0" w:type="dxa"/>
          </w:tblCellMar>
        </w:tblPrEx>
        <w:trPr>
          <w:trHeight w:val="942" w:hRule="atLeast"/>
        </w:trPr>
        <w:tc>
          <w:tcPr>
            <w:tcW w:w="15349" w:type="dxa"/>
            <w:gridSpan w:val="2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财政拨款收入支出决算总表</w:t>
            </w:r>
          </w:p>
        </w:tc>
      </w:tr>
      <w:tr>
        <w:tblPrEx>
          <w:shd w:val="clear" w:color="auto" w:fill="auto"/>
          <w:tblCellMar>
            <w:top w:w="0" w:type="dxa"/>
            <w:left w:w="0" w:type="dxa"/>
            <w:bottom w:w="0" w:type="dxa"/>
            <w:right w:w="0" w:type="dxa"/>
          </w:tblCellMar>
        </w:tblPrEx>
        <w:trPr>
          <w:trHeight w:val="300" w:hRule="atLeast"/>
        </w:trPr>
        <w:tc>
          <w:tcPr>
            <w:tcW w:w="2436" w:type="dxa"/>
            <w:gridSpan w:val="7"/>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38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31"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36"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2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3"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24"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13"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r>
              <w:rPr>
                <w:rStyle w:val="10"/>
                <w:rFonts w:eastAsia="宋体"/>
                <w:lang w:val="en-US" w:eastAsia="zh-CN" w:bidi="ar"/>
              </w:rPr>
              <w:t>0</w:t>
            </w:r>
            <w:r>
              <w:rPr>
                <w:rStyle w:val="10"/>
                <w:rFonts w:hint="eastAsia" w:eastAsia="宋体"/>
                <w:lang w:val="en-US" w:eastAsia="zh-CN" w:bidi="ar"/>
              </w:rPr>
              <w:t>4</w:t>
            </w:r>
            <w:r>
              <w:rPr>
                <w:rStyle w:val="11"/>
                <w:lang w:val="en-US" w:eastAsia="zh-CN" w:bidi="ar"/>
              </w:rPr>
              <w:t>表</w:t>
            </w:r>
          </w:p>
        </w:tc>
      </w:tr>
      <w:tr>
        <w:tblPrEx>
          <w:shd w:val="clear" w:color="auto" w:fill="auto"/>
          <w:tblCellMar>
            <w:top w:w="0" w:type="dxa"/>
            <w:left w:w="0" w:type="dxa"/>
            <w:bottom w:w="0" w:type="dxa"/>
            <w:right w:w="0" w:type="dxa"/>
          </w:tblCellMar>
        </w:tblPrEx>
        <w:trPr>
          <w:trHeight w:val="300" w:hRule="atLeast"/>
        </w:trPr>
        <w:tc>
          <w:tcPr>
            <w:tcW w:w="13136" w:type="dxa"/>
            <w:gridSpan w:val="2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公开部门：宁夏回族自治区宁东能源化工基地管理委员会（本级）</w:t>
            </w:r>
          </w:p>
        </w:tc>
        <w:tc>
          <w:tcPr>
            <w:tcW w:w="2213"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shd w:val="clear" w:color="auto" w:fill="auto"/>
          <w:tblCellMar>
            <w:top w:w="0" w:type="dxa"/>
            <w:left w:w="0" w:type="dxa"/>
            <w:bottom w:w="0" w:type="dxa"/>
            <w:right w:w="0" w:type="dxa"/>
          </w:tblCellMar>
        </w:tblPrEx>
        <w:trPr>
          <w:trHeight w:val="300" w:hRule="atLeast"/>
        </w:trPr>
        <w:tc>
          <w:tcPr>
            <w:tcW w:w="5947"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402"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shd w:val="clear" w:color="auto" w:fill="auto"/>
          <w:tblCellMar>
            <w:top w:w="0" w:type="dxa"/>
            <w:left w:w="0" w:type="dxa"/>
            <w:bottom w:w="0" w:type="dxa"/>
            <w:right w:w="0" w:type="dxa"/>
          </w:tblCellMar>
        </w:tblPrEx>
        <w:trPr>
          <w:trHeight w:val="330" w:hRule="atLeast"/>
        </w:trPr>
        <w:tc>
          <w:tcPr>
            <w:tcW w:w="2436"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13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13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43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634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585" w:hRule="atLeast"/>
        </w:trPr>
        <w:tc>
          <w:tcPr>
            <w:tcW w:w="243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387,001,283.81</w:t>
            </w: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62,423,138.64</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62,423,138.64</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163,333,574.13</w:t>
            </w: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4,859,253.26</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4,859,253.26</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10,399,684.58</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10,399,684.58</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266,167,657.89</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105,867,924.36</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160,299,733.53</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5,910,301.37</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5,910,301.37</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20,309,090.00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20,309,090.00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1,194,000.00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1,194,000.00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27,492,459.71</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27,492,459.71</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15,084,668.70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15,084,668.70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4,120,000.00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二十三、债务还本支出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550,334,857.94</w:t>
            </w: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469,504,123.69</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307,284,390.16</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162,219,733.53</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52,731,921.68</w:t>
            </w: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5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133,562,655.93</w:t>
            </w:r>
          </w:p>
        </w:tc>
        <w:tc>
          <w:tcPr>
            <w:tcW w:w="16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131,977,115.33</w:t>
            </w:r>
          </w:p>
        </w:tc>
        <w:tc>
          <w:tcPr>
            <w:tcW w:w="2213" w:type="dxa"/>
            <w:gridSpan w:val="2"/>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1,585,540.60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52,260,221.68</w:t>
            </w: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471,700.00</w:t>
            </w: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131" w:type="dxa"/>
            <w:gridSpan w:val="3"/>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603,066,779.62</w:t>
            </w:r>
          </w:p>
        </w:tc>
        <w:tc>
          <w:tcPr>
            <w:tcW w:w="24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503" w:type="dxa"/>
            <w:gridSpan w:val="3"/>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603,066,779.62</w:t>
            </w:r>
          </w:p>
        </w:tc>
        <w:tc>
          <w:tcPr>
            <w:tcW w:w="1624" w:type="dxa"/>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439,261,505.49</w:t>
            </w:r>
          </w:p>
        </w:tc>
        <w:tc>
          <w:tcPr>
            <w:tcW w:w="2213" w:type="dxa"/>
            <w:gridSpan w:val="2"/>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163,805,274.13</w:t>
            </w:r>
          </w:p>
        </w:tc>
      </w:tr>
      <w:tr>
        <w:tblPrEx>
          <w:shd w:val="clear" w:color="auto" w:fill="auto"/>
          <w:tblCellMar>
            <w:top w:w="0" w:type="dxa"/>
            <w:left w:w="0" w:type="dxa"/>
            <w:bottom w:w="0" w:type="dxa"/>
            <w:right w:w="0" w:type="dxa"/>
          </w:tblCellMar>
        </w:tblPrEx>
        <w:trPr>
          <w:trHeight w:val="300" w:hRule="atLeast"/>
        </w:trPr>
        <w:tc>
          <w:tcPr>
            <w:tcW w:w="15349" w:type="dxa"/>
            <w:gridSpan w:val="2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注：本表反映部门本年度一般公共预算财政拨款和政府性基金预算财政拨款的总收支和年末结余结转情况，数据取自财决01-1表</w:t>
            </w:r>
          </w:p>
        </w:tc>
      </w:tr>
      <w:tr>
        <w:tblPrEx>
          <w:shd w:val="clear" w:color="auto" w:fill="auto"/>
          <w:tblCellMar>
            <w:top w:w="0" w:type="dxa"/>
            <w:left w:w="0" w:type="dxa"/>
            <w:bottom w:w="0" w:type="dxa"/>
            <w:right w:w="0" w:type="dxa"/>
          </w:tblCellMar>
        </w:tblPrEx>
        <w:trPr>
          <w:trHeight w:val="945" w:hRule="atLeast"/>
        </w:trPr>
        <w:tc>
          <w:tcPr>
            <w:tcW w:w="15349" w:type="dxa"/>
            <w:gridSpan w:val="2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方正小标宋_GBK" w:hAnsi="方正小标宋_GBK" w:eastAsia="方正小标宋_GBK" w:cs="方正小标宋_GBK"/>
                <w:i w:val="0"/>
                <w:color w:val="000000"/>
                <w:kern w:val="0"/>
                <w:sz w:val="40"/>
                <w:szCs w:val="40"/>
                <w:u w:val="none"/>
                <w:lang w:val="en-US" w:eastAsia="zh-CN" w:bidi="ar"/>
              </w:rPr>
            </w:pPr>
          </w:p>
          <w:p>
            <w:pPr>
              <w:keepNext w:val="0"/>
              <w:keepLines w:val="0"/>
              <w:widowControl/>
              <w:suppressLineNumbers w:val="0"/>
              <w:jc w:val="center"/>
              <w:textAlignment w:val="bottom"/>
              <w:rPr>
                <w:rFonts w:hint="eastAsia" w:ascii="方正小标宋_GBK" w:hAnsi="方正小标宋_GBK" w:eastAsia="方正小标宋_GBK" w:cs="方正小标宋_GBK"/>
                <w:i w:val="0"/>
                <w:color w:val="000000"/>
                <w:kern w:val="0"/>
                <w:sz w:val="40"/>
                <w:szCs w:val="40"/>
                <w:u w:val="none"/>
                <w:lang w:val="en-US" w:eastAsia="zh-CN" w:bidi="ar"/>
              </w:rPr>
            </w:pPr>
          </w:p>
          <w:p>
            <w:pPr>
              <w:keepNext w:val="0"/>
              <w:keepLines w:val="0"/>
              <w:widowControl/>
              <w:suppressLineNumbers w:val="0"/>
              <w:jc w:val="center"/>
              <w:textAlignment w:val="bottom"/>
              <w:rPr>
                <w:rFonts w:hint="eastAsia" w:ascii="方正小标宋_GBK" w:hAnsi="方正小标宋_GBK" w:eastAsia="方正小标宋_GBK" w:cs="方正小标宋_GBK"/>
                <w:i w:val="0"/>
                <w:color w:val="000000"/>
                <w:kern w:val="0"/>
                <w:sz w:val="40"/>
                <w:szCs w:val="40"/>
                <w:u w:val="none"/>
                <w:lang w:val="en-US" w:eastAsia="zh-CN" w:bidi="ar"/>
              </w:rPr>
            </w:pPr>
          </w:p>
          <w:p>
            <w:pPr>
              <w:keepNext w:val="0"/>
              <w:keepLines w:val="0"/>
              <w:widowControl/>
              <w:suppressLineNumbers w:val="0"/>
              <w:jc w:val="both"/>
              <w:textAlignment w:val="bottom"/>
              <w:rPr>
                <w:rFonts w:hint="eastAsia" w:ascii="方正小标宋_GBK" w:hAnsi="方正小标宋_GBK" w:eastAsia="方正小标宋_GBK" w:cs="方正小标宋_GBK"/>
                <w:i w:val="0"/>
                <w:color w:val="000000"/>
                <w:kern w:val="0"/>
                <w:sz w:val="40"/>
                <w:szCs w:val="40"/>
                <w:u w:val="none"/>
                <w:lang w:val="en-US" w:eastAsia="zh-CN" w:bidi="ar"/>
              </w:rPr>
            </w:pPr>
          </w:p>
          <w:p>
            <w:pPr>
              <w:keepNext w:val="0"/>
              <w:keepLines w:val="0"/>
              <w:widowControl/>
              <w:suppressLineNumbers w:val="0"/>
              <w:jc w:val="center"/>
              <w:textAlignment w:val="bottom"/>
              <w:rPr>
                <w:rFonts w:hint="eastAsia" w:ascii="方正小标宋_GBK" w:hAnsi="方正小标宋_GBK" w:eastAsia="方正小标宋_GBK" w:cs="方正小标宋_GBK"/>
                <w:i w:val="0"/>
                <w:color w:val="000000"/>
                <w:kern w:val="0"/>
                <w:sz w:val="40"/>
                <w:szCs w:val="40"/>
                <w:u w:val="none"/>
                <w:lang w:val="en-US" w:eastAsia="zh-CN" w:bidi="ar"/>
              </w:rPr>
            </w:pPr>
          </w:p>
          <w:p>
            <w:pPr>
              <w:keepNext w:val="0"/>
              <w:keepLines w:val="0"/>
              <w:widowControl/>
              <w:suppressLineNumbers w:val="0"/>
              <w:jc w:val="center"/>
              <w:textAlignment w:val="bottom"/>
              <w:rPr>
                <w:rFonts w:hint="eastAsia" w:ascii="方正小标宋_GBK" w:hAnsi="方正小标宋_GBK" w:eastAsia="方正小标宋_GBK" w:cs="方正小标宋_GBK"/>
                <w:i w:val="0"/>
                <w:color w:val="000000"/>
                <w:kern w:val="0"/>
                <w:sz w:val="40"/>
                <w:szCs w:val="40"/>
                <w:u w:val="none"/>
                <w:lang w:val="en-US" w:eastAsia="zh-CN" w:bidi="ar"/>
              </w:rPr>
            </w:pPr>
          </w:p>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trHeight w:val="255" w:hRule="atLeast"/>
        </w:trPr>
        <w:tc>
          <w:tcPr>
            <w:tcW w:w="859"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795"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3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94"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47" w:type="dxa"/>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37" w:type="dxa"/>
            <w:gridSpan w:val="4"/>
            <w:tcBorders>
              <w:top w:val="nil"/>
              <w:left w:val="nil"/>
              <w:bottom w:val="nil"/>
              <w:right w:val="nil"/>
            </w:tcBorders>
            <w:shd w:val="clear" w:color="auto" w:fill="auto"/>
            <w:noWrap/>
            <w:tcMar>
              <w:top w:w="15" w:type="dxa"/>
              <w:left w:w="15" w:type="dxa"/>
              <w:right w:w="15" w:type="dxa"/>
            </w:tcMar>
            <w:vAlign w:val="bottom"/>
          </w:tcPr>
          <w:p>
            <w:pPr>
              <w:jc w:val="right"/>
              <w:rPr>
                <w:rFonts w:hint="default" w:ascii="Arial" w:hAnsi="Arial" w:cs="Arial" w:eastAsiaTheme="minorEastAsia"/>
                <w:i w:val="0"/>
                <w:color w:val="000000"/>
                <w:sz w:val="24"/>
                <w:szCs w:val="24"/>
                <w:u w:val="none"/>
                <w:lang w:val="en-US" w:eastAsia="zh-CN"/>
              </w:rPr>
            </w:pPr>
            <w:r>
              <w:rPr>
                <w:rFonts w:hint="eastAsia" w:ascii="Arial" w:hAnsi="Arial" w:cs="Arial"/>
                <w:i w:val="0"/>
                <w:color w:val="000000"/>
                <w:sz w:val="24"/>
                <w:szCs w:val="24"/>
                <w:u w:val="none"/>
                <w:lang w:eastAsia="zh-CN"/>
              </w:rPr>
              <w:t>公开</w:t>
            </w:r>
            <w:r>
              <w:rPr>
                <w:rFonts w:hint="eastAsia" w:ascii="Arial" w:hAnsi="Arial" w:cs="Arial"/>
                <w:i w:val="0"/>
                <w:color w:val="000000"/>
                <w:sz w:val="24"/>
                <w:szCs w:val="24"/>
                <w:u w:val="none"/>
                <w:lang w:val="en-US" w:eastAsia="zh-CN"/>
              </w:rPr>
              <w:t>05表</w:t>
            </w:r>
          </w:p>
        </w:tc>
      </w:tr>
      <w:tr>
        <w:tblPrEx>
          <w:shd w:val="clear" w:color="auto" w:fill="auto"/>
          <w:tblCellMar>
            <w:top w:w="0" w:type="dxa"/>
            <w:left w:w="0" w:type="dxa"/>
            <w:bottom w:w="0" w:type="dxa"/>
            <w:right w:w="0" w:type="dxa"/>
          </w:tblCellMar>
        </w:tblPrEx>
        <w:trPr>
          <w:trHeight w:val="285" w:hRule="atLeast"/>
        </w:trPr>
        <w:tc>
          <w:tcPr>
            <w:tcW w:w="11512" w:type="dxa"/>
            <w:gridSpan w:val="21"/>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公开部门：宁夏回族自治区宁东能源化工基地管理委员会（本级）</w:t>
            </w:r>
          </w:p>
        </w:tc>
        <w:tc>
          <w:tcPr>
            <w:tcW w:w="3837" w:type="dxa"/>
            <w:gridSpan w:val="4"/>
            <w:tcBorders>
              <w:top w:val="nil"/>
              <w:left w:val="nil"/>
              <w:bottom w:val="nil"/>
              <w:right w:val="nil"/>
            </w:tcBorders>
            <w:shd w:val="clear" w:color="auto" w:fill="auto"/>
            <w:noWrap/>
            <w:tcMar>
              <w:top w:w="15" w:type="dxa"/>
              <w:left w:w="15" w:type="dxa"/>
              <w:right w:w="15" w:type="dxa"/>
            </w:tcMar>
            <w:vAlign w:val="bottom"/>
          </w:tcPr>
          <w:p>
            <w:pPr>
              <w:jc w:val="right"/>
              <w:rPr>
                <w:rFonts w:hint="eastAsia" w:ascii="Arial" w:hAnsi="Arial" w:cs="Arial" w:eastAsiaTheme="minorEastAsia"/>
                <w:i w:val="0"/>
                <w:color w:val="000000"/>
                <w:sz w:val="24"/>
                <w:szCs w:val="24"/>
                <w:u w:val="none"/>
                <w:lang w:eastAsia="zh-CN"/>
              </w:rPr>
            </w:pPr>
            <w:r>
              <w:rPr>
                <w:rFonts w:hint="eastAsia" w:ascii="Arial" w:hAnsi="Arial" w:cs="Arial"/>
                <w:i w:val="0"/>
                <w:color w:val="000000"/>
                <w:sz w:val="24"/>
                <w:szCs w:val="24"/>
                <w:u w:val="none"/>
                <w:lang w:eastAsia="zh-CN"/>
              </w:rPr>
              <w:t>金额单位：元</w:t>
            </w:r>
          </w:p>
        </w:tc>
      </w:tr>
      <w:tr>
        <w:tblPrEx>
          <w:shd w:val="clear" w:color="auto" w:fill="auto"/>
          <w:tblCellMar>
            <w:top w:w="0" w:type="dxa"/>
            <w:left w:w="0" w:type="dxa"/>
            <w:bottom w:w="0" w:type="dxa"/>
            <w:right w:w="0" w:type="dxa"/>
          </w:tblCellMar>
        </w:tblPrEx>
        <w:trPr>
          <w:trHeight w:val="308" w:hRule="atLeast"/>
        </w:trPr>
        <w:tc>
          <w:tcPr>
            <w:tcW w:w="5371"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348" w:type="dxa"/>
            <w:gridSpan w:val="6"/>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645" w:type="dxa"/>
            <w:gridSpan w:val="5"/>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985"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08" w:hRule="atLeast"/>
        </w:trPr>
        <w:tc>
          <w:tcPr>
            <w:tcW w:w="2436" w:type="dxa"/>
            <w:gridSpan w:val="7"/>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935"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348" w:type="dxa"/>
            <w:gridSpan w:val="6"/>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45" w:type="dxa"/>
            <w:gridSpan w:val="5"/>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85"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436" w:type="dxa"/>
            <w:gridSpan w:val="7"/>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35"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48" w:type="dxa"/>
            <w:gridSpan w:val="6"/>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45" w:type="dxa"/>
            <w:gridSpan w:val="5"/>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85"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436" w:type="dxa"/>
            <w:gridSpan w:val="7"/>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35"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48" w:type="dxa"/>
            <w:gridSpan w:val="6"/>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45" w:type="dxa"/>
            <w:gridSpan w:val="5"/>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85"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5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795"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7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935"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85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35"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307,284,390.16</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29,448,739.80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277,835,650.36</w:t>
            </w:r>
          </w:p>
        </w:tc>
      </w:tr>
      <w:tr>
        <w:tblPrEx>
          <w:shd w:val="clear" w:color="auto" w:fill="auto"/>
          <w:tblCellMar>
            <w:top w:w="0" w:type="dxa"/>
            <w:left w:w="0" w:type="dxa"/>
            <w:bottom w:w="0" w:type="dxa"/>
            <w:right w:w="0" w:type="dxa"/>
          </w:tblCellMar>
        </w:tblPrEx>
        <w:trPr>
          <w:trHeight w:val="308"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62,423,138.64</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23,737,402.23</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38,685,736.41</w:t>
            </w:r>
          </w:p>
        </w:tc>
      </w:tr>
      <w:tr>
        <w:tblPrEx>
          <w:shd w:val="clear" w:color="auto" w:fill="auto"/>
          <w:tblCellMar>
            <w:top w:w="0" w:type="dxa"/>
            <w:left w:w="0" w:type="dxa"/>
            <w:bottom w:w="0" w:type="dxa"/>
            <w:right w:w="0" w:type="dxa"/>
          </w:tblCellMar>
        </w:tblPrEx>
        <w:trPr>
          <w:trHeight w:val="308"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35,324,636.19</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23,388,427.41</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11,936,208.78</w:t>
            </w:r>
          </w:p>
        </w:tc>
      </w:tr>
      <w:tr>
        <w:tblPrEx>
          <w:shd w:val="clear" w:color="auto" w:fill="auto"/>
          <w:tblCellMar>
            <w:top w:w="0" w:type="dxa"/>
            <w:left w:w="0" w:type="dxa"/>
            <w:bottom w:w="0" w:type="dxa"/>
            <w:right w:w="0" w:type="dxa"/>
          </w:tblCellMar>
        </w:tblPrEx>
        <w:trPr>
          <w:trHeight w:val="308"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23,378,159.31</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23,378,159.31</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11,736,408.78</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11,736,408.78</w:t>
            </w:r>
          </w:p>
        </w:tc>
      </w:tr>
      <w:tr>
        <w:tblPrEx>
          <w:shd w:val="clear" w:color="auto" w:fill="auto"/>
          <w:tblCellMar>
            <w:top w:w="0" w:type="dxa"/>
            <w:left w:w="0" w:type="dxa"/>
            <w:bottom w:w="0" w:type="dxa"/>
            <w:right w:w="0" w:type="dxa"/>
          </w:tblCellMar>
        </w:tblPrEx>
        <w:trPr>
          <w:trHeight w:val="308"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210,068.10</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10,268.10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199,800.00</w:t>
            </w:r>
          </w:p>
        </w:tc>
      </w:tr>
      <w:tr>
        <w:tblPrEx>
          <w:shd w:val="clear" w:color="auto" w:fill="auto"/>
          <w:tblCellMar>
            <w:top w:w="0" w:type="dxa"/>
            <w:left w:w="0" w:type="dxa"/>
            <w:bottom w:w="0" w:type="dxa"/>
            <w:right w:w="0" w:type="dxa"/>
          </w:tblCellMar>
        </w:tblPrEx>
        <w:trPr>
          <w:trHeight w:val="308"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发展与改革事务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9,925,949.79</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141,093.34</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9,784,856.45</w:t>
            </w:r>
          </w:p>
        </w:tc>
      </w:tr>
      <w:tr>
        <w:tblPrEx>
          <w:shd w:val="clear" w:color="auto" w:fill="auto"/>
          <w:tblCellMar>
            <w:top w:w="0" w:type="dxa"/>
            <w:left w:w="0" w:type="dxa"/>
            <w:bottom w:w="0" w:type="dxa"/>
            <w:right w:w="0" w:type="dxa"/>
          </w:tblCellMar>
        </w:tblPrEx>
        <w:trPr>
          <w:trHeight w:val="51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90,716.26</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90,716.26</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4,468,490.04</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4,468,490.04</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战略规划与实施</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3,239,807.49</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50,377.08</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3,189,430.41</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其他发展与改革事务支出</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2,126,936.00</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2,126,936.00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统计信息事务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6,395,276.00</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6,395,276.00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11,864.00</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11,864.00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2010504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6,383,412.00</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6,383,412.00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1,070,832.72</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87,290.00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983,542.72</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87,290.00</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87,290.00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790,270.00</w:t>
            </w:r>
          </w:p>
        </w:tc>
        <w:tc>
          <w:tcPr>
            <w:tcW w:w="36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790,270.00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193,272.72</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193,272.72</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2,015,563.71</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2,015,563.71</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2011008</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1,349,270.00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1,349,270.00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666,293.71</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666,293.71</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纪检监察事务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202,002.50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174,219.00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27,783.50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2011102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174,219.00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174,219.00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1,798,153.06</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25,414.03</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1,772,739.03</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25,414.03</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25,414.03</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1,772,739.03</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1,772,739.03</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5,690,724.67</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67,393.95</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5,623,330.72</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67,393.95</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67,393.95</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200,546.00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200,546.00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2013105</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专项业务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984,297.53</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984,297.53</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其他党委办公厅（室）及相关机构事务支出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4,438,487.19</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4,438,487.19</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2013201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2040299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其他公安支出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427,597.53</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其他教育费附加安排的支出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20608</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科技交流与合作</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2060899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其他科技交流与合作支出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4,859,253.26</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3,504,053.26</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1,355,200.00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557,512.50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57,512.50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57,512.50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57,512.50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2,930,001.20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2,930,001.20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1,982,001.20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1,982,001.20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1,371,739.56</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516,539.56</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855,200.00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1,371,739.56</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516,539.56</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855,200.00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基层医疗卫生机构</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其他基层医疗卫生机构支出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746,272.01</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706,700.21</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706,700.21</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39,571.80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39,571.80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10,399,684.58</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10,318,677.50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2,247,075.98</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2,166,068.90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81,007.08</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384,468.90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384,468.90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生态环境保护宣传</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1,781,600.00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1,781,600.00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建设项目环评审查与监督</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5,854,608.60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5,854,608.60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5,219,708.60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5,219,708.60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374,900.00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374,900.00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生态环境执法监察</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其他节能环保支出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105,867,924.36</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344,967.90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105,522,956.46</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9,721,028.79</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344,967.90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9,376,060.89</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139,663.05</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139,663.05</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城管执法</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8,465,689.64</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205,304.85</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8,260,384.79</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1,115,676.10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1,115,676.10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2120201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4,795,457.79</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城乡社区公共设施</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90,248,332.78</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90,248,332.78</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4,182,173.94</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4,182,173.94</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86,066,158.84</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86,066,158.84</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建设市场管理与监督</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建设市场管理与监督</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1,103,105.00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5,910,301.37</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5,910,301.37</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3,776,600.00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3,776,600.00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2130308</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水利前期工作</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1,576,600.00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1,576,600.00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2130316</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农田水利</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1,833,701.37</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其他农村综合改革支出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20,309,090.00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20,309,090.00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公路水路运输</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公路建设</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其他交通运输支出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2149901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公共交通运营补助</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309,090.00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气象事务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2200511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气象基础设施建设与维修</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27,492,459.71</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26,560,972.11</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保障性安居工程支出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26,560,972.11</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26,560,972.11</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2210103</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23,401,126.56</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23,401,126.56</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3,159,845.55</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3,159,845.55</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931,487.60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15,084,668.70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103,549.72</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14,981,118.98</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1,814,668.70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103,549.72</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1,711,118.98</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2240106</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安全监管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958,284.70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103,549.72</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854,734.98</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2240108</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应急救援</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854,810.00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854,810.00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2240109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应急管理</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22402</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消防事务</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2240204</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消防应急救援</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r>
      <w:tr>
        <w:tblPrEx>
          <w:shd w:val="clear" w:color="auto" w:fill="auto"/>
          <w:tblCellMar>
            <w:top w:w="0" w:type="dxa"/>
            <w:left w:w="0" w:type="dxa"/>
            <w:bottom w:w="0" w:type="dxa"/>
            <w:right w:w="0" w:type="dxa"/>
          </w:tblCellMar>
        </w:tblPrEx>
        <w:trPr>
          <w:trHeight w:val="270" w:hRule="atLeast"/>
        </w:trPr>
        <w:tc>
          <w:tcPr>
            <w:tcW w:w="243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293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79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4347"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r>
      <w:tr>
        <w:tblPrEx>
          <w:shd w:val="clear" w:color="auto" w:fill="auto"/>
          <w:tblCellMar>
            <w:top w:w="0" w:type="dxa"/>
            <w:left w:w="0" w:type="dxa"/>
            <w:bottom w:w="0" w:type="dxa"/>
            <w:right w:w="0" w:type="dxa"/>
          </w:tblCellMar>
        </w:tblPrEx>
        <w:trPr>
          <w:trHeight w:val="285" w:hRule="atLeast"/>
        </w:trPr>
        <w:tc>
          <w:tcPr>
            <w:tcW w:w="2436" w:type="dxa"/>
            <w:gridSpan w:val="7"/>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2935" w:type="dxa"/>
            <w:gridSpan w:val="4"/>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794" w:type="dxa"/>
            <w:gridSpan w:val="3"/>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c>
          <w:tcPr>
            <w:tcW w:w="4347" w:type="dxa"/>
            <w:gridSpan w:val="7"/>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37" w:type="dxa"/>
            <w:gridSpan w:val="4"/>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2,200,000.00</w:t>
            </w:r>
          </w:p>
        </w:tc>
      </w:tr>
      <w:tr>
        <w:tblPrEx>
          <w:shd w:val="clear" w:color="auto" w:fill="auto"/>
          <w:tblCellMar>
            <w:top w:w="0" w:type="dxa"/>
            <w:left w:w="0" w:type="dxa"/>
            <w:bottom w:w="0" w:type="dxa"/>
            <w:right w:w="0" w:type="dxa"/>
          </w:tblCellMar>
        </w:tblPrEx>
        <w:trPr>
          <w:trHeight w:val="255" w:hRule="atLeast"/>
        </w:trPr>
        <w:tc>
          <w:tcPr>
            <w:tcW w:w="15349" w:type="dxa"/>
            <w:gridSpan w:val="2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注：本表反映部门本年度一般公共预算财政拨款实际支出情况，数据取自财决</w:t>
            </w:r>
            <w:r>
              <w:rPr>
                <w:rFonts w:hint="default" w:ascii="Arial" w:hAnsi="Arial" w:eastAsia="宋体" w:cs="Arial"/>
                <w:i w:val="0"/>
                <w:color w:val="000000"/>
                <w:kern w:val="0"/>
                <w:sz w:val="22"/>
                <w:szCs w:val="22"/>
                <w:u w:val="none"/>
                <w:lang w:val="en-US" w:eastAsia="zh-CN" w:bidi="ar"/>
              </w:rPr>
              <w:t>07</w:t>
            </w:r>
            <w:r>
              <w:rPr>
                <w:rStyle w:val="12"/>
                <w:lang w:val="en-US" w:eastAsia="zh-CN" w:bidi="ar"/>
              </w:rPr>
              <w:t>表</w:t>
            </w:r>
          </w:p>
        </w:tc>
      </w:tr>
      <w:tr>
        <w:tblPrEx>
          <w:shd w:val="clear" w:color="auto" w:fill="auto"/>
          <w:tblCellMar>
            <w:top w:w="0" w:type="dxa"/>
            <w:left w:w="0" w:type="dxa"/>
            <w:bottom w:w="0" w:type="dxa"/>
            <w:right w:w="0" w:type="dxa"/>
          </w:tblCellMar>
        </w:tblPrEx>
        <w:trPr>
          <w:gridAfter w:val="1"/>
          <w:wAfter w:w="47" w:type="dxa"/>
          <w:trHeight w:val="657" w:hRule="atLeast"/>
        </w:trPr>
        <w:tc>
          <w:tcPr>
            <w:tcW w:w="15302" w:type="dxa"/>
            <w:gridSpan w:val="2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一般公共预算财政拨款基本支出决算表</w:t>
            </w:r>
          </w:p>
        </w:tc>
      </w:tr>
      <w:tr>
        <w:tblPrEx>
          <w:shd w:val="clear" w:color="auto" w:fill="auto"/>
          <w:tblCellMar>
            <w:top w:w="0" w:type="dxa"/>
            <w:left w:w="0" w:type="dxa"/>
            <w:bottom w:w="0" w:type="dxa"/>
            <w:right w:w="0" w:type="dxa"/>
          </w:tblCellMar>
        </w:tblPrEx>
        <w:trPr>
          <w:gridAfter w:val="1"/>
          <w:wAfter w:w="47" w:type="dxa"/>
          <w:trHeight w:val="343" w:hRule="atLeast"/>
        </w:trPr>
        <w:tc>
          <w:tcPr>
            <w:tcW w:w="9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4"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865"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6" w:type="dxa"/>
            <w:gridSpan w:val="3"/>
            <w:tcBorders>
              <w:top w:val="nil"/>
              <w:left w:val="nil"/>
              <w:bottom w:val="nil"/>
              <w:right w:val="nil"/>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24"/>
                <w:szCs w:val="24"/>
                <w:u w:val="none"/>
              </w:rPr>
            </w:pPr>
          </w:p>
        </w:tc>
        <w:tc>
          <w:tcPr>
            <w:tcW w:w="3372"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45"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shd w:val="clear" w:color="auto" w:fill="auto"/>
          <w:tblCellMar>
            <w:top w:w="0" w:type="dxa"/>
            <w:left w:w="0" w:type="dxa"/>
            <w:bottom w:w="0" w:type="dxa"/>
            <w:right w:w="0" w:type="dxa"/>
          </w:tblCellMar>
        </w:tblPrEx>
        <w:trPr>
          <w:gridAfter w:val="1"/>
          <w:wAfter w:w="47" w:type="dxa"/>
          <w:trHeight w:val="343" w:hRule="atLeast"/>
        </w:trPr>
        <w:tc>
          <w:tcPr>
            <w:tcW w:w="11449" w:type="dxa"/>
            <w:gridSpan w:val="20"/>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公开部门：宁夏回族自治区宁东能源化工基地管理委员会（本级）</w:t>
            </w:r>
          </w:p>
        </w:tc>
        <w:tc>
          <w:tcPr>
            <w:tcW w:w="3853"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shd w:val="clear" w:color="auto" w:fill="auto"/>
          <w:tblCellMar>
            <w:top w:w="0" w:type="dxa"/>
            <w:left w:w="0" w:type="dxa"/>
            <w:bottom w:w="0" w:type="dxa"/>
            <w:right w:w="0" w:type="dxa"/>
          </w:tblCellMar>
        </w:tblPrEx>
        <w:trPr>
          <w:gridAfter w:val="1"/>
          <w:wAfter w:w="47" w:type="dxa"/>
          <w:trHeight w:val="362" w:hRule="atLeast"/>
        </w:trPr>
        <w:tc>
          <w:tcPr>
            <w:tcW w:w="376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85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82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385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gridAfter w:val="1"/>
          <w:wAfter w:w="47" w:type="dxa"/>
          <w:trHeight w:val="337" w:hRule="atLeast"/>
        </w:trPr>
        <w:tc>
          <w:tcPr>
            <w:tcW w:w="102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74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85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2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47" w:type="dxa"/>
          <w:trHeight w:val="337" w:hRule="atLeast"/>
        </w:trPr>
        <w:tc>
          <w:tcPr>
            <w:tcW w:w="102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5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2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47" w:type="dxa"/>
          <w:trHeight w:val="337" w:hRule="atLeast"/>
        </w:trPr>
        <w:tc>
          <w:tcPr>
            <w:tcW w:w="102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5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2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855"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29,448,739.80</w:t>
            </w:r>
          </w:p>
        </w:tc>
        <w:tc>
          <w:tcPr>
            <w:tcW w:w="382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22,385,431.92</w:t>
            </w:r>
          </w:p>
        </w:tc>
        <w:tc>
          <w:tcPr>
            <w:tcW w:w="385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7,063,307.88</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一、工资福利支出</w:t>
            </w:r>
          </w:p>
        </w:tc>
        <w:tc>
          <w:tcPr>
            <w:tcW w:w="3855" w:type="dxa"/>
            <w:gridSpan w:val="7"/>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22,385,431.92</w:t>
            </w:r>
          </w:p>
        </w:tc>
        <w:tc>
          <w:tcPr>
            <w:tcW w:w="382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22,385,431.92</w:t>
            </w:r>
          </w:p>
        </w:tc>
        <w:tc>
          <w:tcPr>
            <w:tcW w:w="385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5,081,002.53</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5,081,002.53</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3,673,818.76</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3,673,818.76</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2,912,694.00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2,912,694.00</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4</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87,663.22</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87,663.22</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6</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4,686,294.00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4,686,294.00</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674"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8</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2,020,283.60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2,020,283.60</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二、商品和服务支出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6,946,505.81</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6,946,505.81</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442,008.37</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442,008.37</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96,415.40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96,415.40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4</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658.20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658.20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5</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6</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2,415.41</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2,415.41</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3,243.44</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3,243.44</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8</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10,727.62</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10,727.62</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493,831.75</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493,831.75</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37,817.60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37,817.60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5,905.00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5,905.00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4</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5</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6</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17,962.00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17,962.00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8</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5,284.00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5,284.00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4"/>
                <w:lang w:val="en-US" w:eastAsia="zh-CN" w:bidi="ar"/>
              </w:rPr>
              <w:t>4</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4"/>
                <w:lang w:val="en-US" w:eastAsia="zh-CN" w:bidi="ar"/>
              </w:rPr>
              <w:t>5</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4"/>
                <w:lang w:val="en-US" w:eastAsia="zh-CN" w:bidi="ar"/>
              </w:rPr>
              <w:t>6</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3,977,105.78</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3,977,105.78</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22,431.50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22,431.50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4"/>
                <w:lang w:val="en-US" w:eastAsia="zh-CN" w:bidi="ar"/>
              </w:rPr>
              <w:t>8</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299,642.40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299,642.40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379,242.45</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379,242.45</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917,348.73</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917,348.73</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Style w:val="14"/>
                <w:lang w:val="en-US" w:eastAsia="zh-CN" w:bidi="ar"/>
              </w:rPr>
              <w:t>0</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228,361.16</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228,361.16</w:t>
            </w:r>
          </w:p>
        </w:tc>
      </w:tr>
      <w:tr>
        <w:tblPrEx>
          <w:shd w:val="clear" w:color="auto" w:fill="auto"/>
          <w:tblCellMar>
            <w:top w:w="0" w:type="dxa"/>
            <w:left w:w="0" w:type="dxa"/>
            <w:bottom w:w="0" w:type="dxa"/>
            <w:right w:w="0" w:type="dxa"/>
          </w:tblCellMar>
        </w:tblPrEx>
        <w:trPr>
          <w:gridAfter w:val="1"/>
          <w:wAfter w:w="47" w:type="dxa"/>
          <w:trHeight w:val="666"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三、对个人和家庭的补助</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67,285.07</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b/>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67,285.07</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4</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5</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67,285.07</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67,285.07</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6</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8</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0</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提租补贴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购房补贴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4</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采暖补贴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5</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物业服务补贴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674"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四、基本建设支出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b/>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5</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6</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674"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8</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其他基本建设支出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五、其他资本性支出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49,517.00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b/>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49,517.00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49,517.00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49,517.00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5</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6</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674"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8</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0</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666"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4"/>
                <w:lang w:val="en-US" w:eastAsia="zh-CN" w:bidi="ar"/>
              </w:rPr>
              <w:t>0</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产权参股</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666"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304</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六、对企事业单位的补贴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b/>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企业政策性补贴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2</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3</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财政贴息</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674"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其他对企事业单位的补贴</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七、债务利息支出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b/>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1</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八、其他支出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b/>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6</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Style w:val="14"/>
                <w:lang w:val="en-US" w:eastAsia="zh-CN" w:bidi="ar"/>
              </w:rPr>
              <w:t>7</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贷款转贷</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024"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Style w:val="14"/>
                <w:lang w:val="en-US" w:eastAsia="zh-CN" w:bidi="ar"/>
              </w:rPr>
              <w:t>9</w:t>
            </w:r>
          </w:p>
        </w:tc>
        <w:tc>
          <w:tcPr>
            <w:tcW w:w="274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85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47" w:type="dxa"/>
          <w:trHeight w:val="362" w:hRule="atLeast"/>
        </w:trPr>
        <w:tc>
          <w:tcPr>
            <w:tcW w:w="15302" w:type="dxa"/>
            <w:gridSpan w:val="24"/>
            <w:tcBorders>
              <w:top w:val="single" w:color="000000" w:sz="4" w:space="0"/>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注：本表反映部门本年度一般公共预算财政拨款基本支出情况，按经济分类填列到款级科目，数据取自财决08-1表</w:t>
            </w:r>
          </w:p>
        </w:tc>
      </w:tr>
    </w:tbl>
    <w:p>
      <w:pPr>
        <w:spacing w:line="580" w:lineRule="exact"/>
      </w:pPr>
    </w:p>
    <w:p>
      <w:pPr>
        <w:spacing w:line="580" w:lineRule="exact"/>
      </w:pPr>
    </w:p>
    <w:p>
      <w:pPr>
        <w:spacing w:line="580" w:lineRule="exact"/>
      </w:pPr>
    </w:p>
    <w:p>
      <w:pPr>
        <w:spacing w:line="580" w:lineRule="exact"/>
      </w:pPr>
    </w:p>
    <w:tbl>
      <w:tblPr>
        <w:tblStyle w:val="4"/>
        <w:tblW w:w="15423" w:type="dxa"/>
        <w:tblInd w:w="0" w:type="dxa"/>
        <w:shd w:val="clear" w:color="auto" w:fill="auto"/>
        <w:tblLayout w:type="autofit"/>
        <w:tblCellMar>
          <w:top w:w="0" w:type="dxa"/>
          <w:left w:w="0" w:type="dxa"/>
          <w:bottom w:w="0" w:type="dxa"/>
          <w:right w:w="0" w:type="dxa"/>
        </w:tblCellMar>
      </w:tblPr>
      <w:tblGrid>
        <w:gridCol w:w="1278"/>
        <w:gridCol w:w="1130"/>
        <w:gridCol w:w="1230"/>
        <w:gridCol w:w="1439"/>
        <w:gridCol w:w="1439"/>
        <w:gridCol w:w="1116"/>
        <w:gridCol w:w="1278"/>
        <w:gridCol w:w="941"/>
        <w:gridCol w:w="1224"/>
        <w:gridCol w:w="1439"/>
        <w:gridCol w:w="1439"/>
        <w:gridCol w:w="1470"/>
      </w:tblGrid>
      <w:tr>
        <w:tblPrEx>
          <w:shd w:val="clear" w:color="auto" w:fill="auto"/>
          <w:tblCellMar>
            <w:top w:w="0" w:type="dxa"/>
            <w:left w:w="0" w:type="dxa"/>
            <w:bottom w:w="0" w:type="dxa"/>
            <w:right w:w="0" w:type="dxa"/>
          </w:tblCellMar>
        </w:tblPrEx>
        <w:trPr>
          <w:trHeight w:val="1224" w:hRule="atLeast"/>
        </w:trPr>
        <w:tc>
          <w:tcPr>
            <w:tcW w:w="15423"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一般公共预算财政拨款“三公”经费支出决算表(公开表样）</w:t>
            </w:r>
          </w:p>
        </w:tc>
      </w:tr>
      <w:tr>
        <w:tblPrEx>
          <w:shd w:val="clear" w:color="auto" w:fill="auto"/>
          <w:tblCellMar>
            <w:top w:w="0" w:type="dxa"/>
            <w:left w:w="0" w:type="dxa"/>
            <w:bottom w:w="0" w:type="dxa"/>
            <w:right w:w="0" w:type="dxa"/>
          </w:tblCellMar>
        </w:tblPrEx>
        <w:trPr>
          <w:trHeight w:val="33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公开07表</w:t>
            </w:r>
          </w:p>
        </w:tc>
      </w:tr>
      <w:tr>
        <w:tblPrEx>
          <w:shd w:val="clear" w:color="auto" w:fill="auto"/>
          <w:tblCellMar>
            <w:top w:w="0" w:type="dxa"/>
            <w:left w:w="0" w:type="dxa"/>
            <w:bottom w:w="0" w:type="dxa"/>
            <w:right w:w="0" w:type="dxa"/>
          </w:tblCellMar>
        </w:tblPrEx>
        <w:trPr>
          <w:trHeight w:val="33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shd w:val="clear" w:color="auto" w:fill="auto"/>
          <w:tblCellMar>
            <w:top w:w="0" w:type="dxa"/>
            <w:left w:w="0" w:type="dxa"/>
            <w:bottom w:w="0" w:type="dxa"/>
            <w:right w:w="0" w:type="dxa"/>
          </w:tblCellMar>
        </w:tblPrEx>
        <w:trPr>
          <w:trHeight w:val="533"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2019年度预算数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2019年度决算数</w:t>
            </w:r>
          </w:p>
        </w:tc>
      </w:tr>
      <w:tr>
        <w:tblPrEx>
          <w:shd w:val="clear" w:color="auto" w:fill="auto"/>
          <w:tblCellMar>
            <w:top w:w="0" w:type="dxa"/>
            <w:left w:w="0" w:type="dxa"/>
            <w:bottom w:w="0" w:type="dxa"/>
            <w:right w:w="0" w:type="dxa"/>
          </w:tblCellMar>
        </w:tblPrEx>
        <w:trPr>
          <w:trHeight w:val="592" w:hRule="atLeast"/>
        </w:trPr>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应公出国（境）费</w:t>
            </w:r>
          </w:p>
        </w:tc>
        <w:tc>
          <w:tcPr>
            <w:tcW w:w="410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应公出国（境）费</w:t>
            </w:r>
          </w:p>
        </w:tc>
        <w:tc>
          <w:tcPr>
            <w:tcW w:w="41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shd w:val="clear" w:color="auto" w:fill="auto"/>
          <w:tblCellMar>
            <w:top w:w="0" w:type="dxa"/>
            <w:left w:w="0" w:type="dxa"/>
            <w:bottom w:w="0" w:type="dxa"/>
            <w:right w:w="0" w:type="dxa"/>
          </w:tblCellMar>
        </w:tblPrEx>
        <w:trPr>
          <w:trHeight w:val="577"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9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1,422,400.00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1,205,178.73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37,817.60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974,846.13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435,446.13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192,515.00</w:t>
            </w:r>
          </w:p>
        </w:tc>
      </w:tr>
      <w:tr>
        <w:tblPrEx>
          <w:tblCellMar>
            <w:top w:w="0" w:type="dxa"/>
            <w:left w:w="0" w:type="dxa"/>
            <w:bottom w:w="0" w:type="dxa"/>
            <w:right w:w="0" w:type="dxa"/>
          </w:tblCellMar>
        </w:tblPrEx>
        <w:trPr>
          <w:trHeight w:val="345" w:hRule="atLeast"/>
        </w:trPr>
        <w:tc>
          <w:tcPr>
            <w:tcW w:w="0" w:type="auto"/>
            <w:gridSpan w:val="12"/>
            <w:tcBorders>
              <w:top w:val="single" w:color="000000" w:sz="4" w:space="0"/>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注：2016年度预算数为“三公”经费年初预算数，决算数是包括当年财政拨款预算和以前年度结转结余资金安排的实际支出，数据取自财决03表。</w:t>
            </w:r>
          </w:p>
        </w:tc>
      </w:tr>
    </w:tbl>
    <w:p>
      <w:pPr>
        <w:spacing w:line="580" w:lineRule="exact"/>
      </w:pPr>
    </w:p>
    <w:tbl>
      <w:tblPr>
        <w:tblStyle w:val="4"/>
        <w:tblW w:w="15752" w:type="dxa"/>
        <w:tblInd w:w="0" w:type="dxa"/>
        <w:shd w:val="clear" w:color="auto" w:fill="auto"/>
        <w:tblLayout w:type="fixed"/>
        <w:tblCellMar>
          <w:top w:w="0" w:type="dxa"/>
          <w:left w:w="0" w:type="dxa"/>
          <w:bottom w:w="0" w:type="dxa"/>
          <w:right w:w="0" w:type="dxa"/>
        </w:tblCellMar>
      </w:tblPr>
      <w:tblGrid>
        <w:gridCol w:w="244"/>
        <w:gridCol w:w="244"/>
        <w:gridCol w:w="312"/>
        <w:gridCol w:w="5654"/>
        <w:gridCol w:w="1665"/>
        <w:gridCol w:w="1800"/>
        <w:gridCol w:w="1785"/>
        <w:gridCol w:w="665"/>
        <w:gridCol w:w="1727"/>
        <w:gridCol w:w="1656"/>
      </w:tblGrid>
      <w:tr>
        <w:tblPrEx>
          <w:shd w:val="clear" w:color="auto" w:fill="auto"/>
          <w:tblCellMar>
            <w:top w:w="0" w:type="dxa"/>
            <w:left w:w="0" w:type="dxa"/>
            <w:bottom w:w="0" w:type="dxa"/>
            <w:right w:w="0" w:type="dxa"/>
          </w:tblCellMar>
        </w:tblPrEx>
        <w:trPr>
          <w:trHeight w:val="585" w:hRule="atLeast"/>
        </w:trPr>
        <w:tc>
          <w:tcPr>
            <w:tcW w:w="15752" w:type="dxa"/>
            <w:gridSpan w:val="10"/>
            <w:vMerge w:val="restar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trHeight w:val="480" w:hRule="atLeast"/>
        </w:trPr>
        <w:tc>
          <w:tcPr>
            <w:tcW w:w="15752" w:type="dxa"/>
            <w:gridSpan w:val="10"/>
            <w:vMerge w:val="continue"/>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方正小标宋_GBK" w:hAnsi="方正小标宋_GBK" w:eastAsia="方正小标宋_GBK" w:cs="方正小标宋_GBK"/>
                <w:i w:val="0"/>
                <w:color w:val="000000"/>
                <w:sz w:val="40"/>
                <w:szCs w:val="40"/>
                <w:u w:val="none"/>
              </w:rPr>
            </w:pPr>
          </w:p>
        </w:tc>
      </w:tr>
      <w:tr>
        <w:tblPrEx>
          <w:shd w:val="clear" w:color="auto" w:fill="auto"/>
          <w:tblCellMar>
            <w:top w:w="0" w:type="dxa"/>
            <w:left w:w="0" w:type="dxa"/>
            <w:bottom w:w="0" w:type="dxa"/>
            <w:right w:w="0" w:type="dxa"/>
          </w:tblCellMar>
        </w:tblPrEx>
        <w:trPr>
          <w:trHeight w:val="375" w:hRule="atLeast"/>
        </w:trPr>
        <w:tc>
          <w:tcPr>
            <w:tcW w:w="244"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Arial" w:hAnsi="Arial" w:cs="Arial"/>
                <w:i w:val="0"/>
                <w:color w:val="000000"/>
                <w:sz w:val="36"/>
                <w:szCs w:val="36"/>
                <w:u w:val="none"/>
              </w:rPr>
            </w:pPr>
          </w:p>
        </w:tc>
        <w:tc>
          <w:tcPr>
            <w:tcW w:w="244" w:type="dxa"/>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36"/>
                <w:szCs w:val="36"/>
                <w:u w:val="none"/>
              </w:rPr>
            </w:pPr>
          </w:p>
        </w:tc>
        <w:tc>
          <w:tcPr>
            <w:tcW w:w="312" w:type="dxa"/>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36"/>
                <w:szCs w:val="36"/>
                <w:u w:val="none"/>
              </w:rPr>
            </w:pPr>
          </w:p>
        </w:tc>
        <w:tc>
          <w:tcPr>
            <w:tcW w:w="5654" w:type="dxa"/>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36"/>
                <w:szCs w:val="36"/>
                <w:u w:val="none"/>
              </w:rPr>
            </w:pPr>
          </w:p>
        </w:tc>
        <w:tc>
          <w:tcPr>
            <w:tcW w:w="1665" w:type="dxa"/>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36"/>
                <w:szCs w:val="36"/>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36"/>
                <w:szCs w:val="36"/>
                <w:u w:val="none"/>
              </w:rPr>
            </w:pPr>
          </w:p>
        </w:tc>
        <w:tc>
          <w:tcPr>
            <w:tcW w:w="1785" w:type="dxa"/>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36"/>
                <w:szCs w:val="36"/>
                <w:u w:val="none"/>
              </w:rPr>
            </w:pPr>
          </w:p>
        </w:tc>
        <w:tc>
          <w:tcPr>
            <w:tcW w:w="665" w:type="dxa"/>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36"/>
                <w:szCs w:val="36"/>
                <w:u w:val="none"/>
              </w:rPr>
            </w:pPr>
          </w:p>
        </w:tc>
        <w:tc>
          <w:tcPr>
            <w:tcW w:w="1727" w:type="dxa"/>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36"/>
                <w:szCs w:val="36"/>
                <w:u w:val="none"/>
              </w:rPr>
            </w:pPr>
          </w:p>
        </w:tc>
        <w:tc>
          <w:tcPr>
            <w:tcW w:w="165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08</w:t>
            </w:r>
            <w:r>
              <w:rPr>
                <w:rFonts w:hint="eastAsia" w:ascii="宋体" w:hAnsi="宋体" w:eastAsia="宋体" w:cs="宋体"/>
                <w:i w:val="0"/>
                <w:color w:val="000000"/>
                <w:kern w:val="0"/>
                <w:sz w:val="24"/>
                <w:szCs w:val="24"/>
                <w:u w:val="none"/>
                <w:lang w:val="en-US" w:eastAsia="zh-CN" w:bidi="ar"/>
              </w:rPr>
              <w:t>表</w:t>
            </w:r>
          </w:p>
        </w:tc>
      </w:tr>
      <w:tr>
        <w:tblPrEx>
          <w:shd w:val="clear" w:color="auto" w:fill="auto"/>
          <w:tblCellMar>
            <w:top w:w="0" w:type="dxa"/>
            <w:left w:w="0" w:type="dxa"/>
            <w:bottom w:w="0" w:type="dxa"/>
            <w:right w:w="0" w:type="dxa"/>
          </w:tblCellMar>
        </w:tblPrEx>
        <w:trPr>
          <w:trHeight w:val="516" w:hRule="atLeast"/>
        </w:trPr>
        <w:tc>
          <w:tcPr>
            <w:tcW w:w="14096"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公开部门：宁夏回族自治区宁东能源化工基地管理委员会（本级）</w:t>
            </w:r>
          </w:p>
        </w:tc>
        <w:tc>
          <w:tcPr>
            <w:tcW w:w="165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64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80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1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trPr>
        <w:tc>
          <w:tcPr>
            <w:tcW w:w="8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 w:hRule="atLeast"/>
        </w:trPr>
        <w:tc>
          <w:tcPr>
            <w:tcW w:w="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2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3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5654"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2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center" w:pos="3074"/>
                <w:tab w:val="right" w:pos="6029"/>
              </w:tabs>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b/>
            </w:r>
            <w:r>
              <w:rPr>
                <w:rFonts w:hint="eastAsia" w:ascii="宋体" w:hAnsi="宋体" w:eastAsia="宋体" w:cs="宋体"/>
                <w:i w:val="0"/>
                <w:color w:val="000000"/>
                <w:kern w:val="0"/>
                <w:sz w:val="22"/>
                <w:szCs w:val="22"/>
                <w:u w:val="none"/>
                <w:lang w:val="en-US" w:eastAsia="zh-CN" w:bidi="ar"/>
              </w:rPr>
              <w:t>合计</w:t>
            </w:r>
            <w:r>
              <w:rPr>
                <w:rFonts w:hint="eastAsia" w:ascii="宋体" w:hAnsi="宋体" w:eastAsia="宋体" w:cs="宋体"/>
                <w:i w:val="0"/>
                <w:color w:val="000000"/>
                <w:kern w:val="0"/>
                <w:sz w:val="22"/>
                <w:szCs w:val="22"/>
                <w:u w:val="none"/>
                <w:lang w:val="en-US" w:eastAsia="zh-CN" w:bidi="ar"/>
              </w:rPr>
              <w:tab/>
            </w:r>
          </w:p>
        </w:tc>
        <w:tc>
          <w:tcPr>
            <w:tcW w:w="1665"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471,700.00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163,333,574.13</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162,219,733.53</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162,219,733.53</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1,585,540.60</w:t>
            </w:r>
          </w:p>
        </w:tc>
      </w:tr>
      <w:tr>
        <w:tblPrEx>
          <w:shd w:val="clear" w:color="auto" w:fill="auto"/>
          <w:tblCellMar>
            <w:top w:w="0" w:type="dxa"/>
            <w:left w:w="0" w:type="dxa"/>
            <w:bottom w:w="0" w:type="dxa"/>
            <w:right w:w="0" w:type="dxa"/>
          </w:tblCellMar>
        </w:tblPrEx>
        <w:trPr>
          <w:trHeight w:val="308" w:hRule="atLeast"/>
        </w:trPr>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565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471,700.00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161,413,574.13</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160,299,733.53</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160,299,733.53</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1,585,540.60</w:t>
            </w:r>
          </w:p>
        </w:tc>
      </w:tr>
      <w:tr>
        <w:tblPrEx>
          <w:shd w:val="clear" w:color="auto" w:fill="auto"/>
          <w:tblCellMar>
            <w:top w:w="0" w:type="dxa"/>
            <w:left w:w="0" w:type="dxa"/>
            <w:bottom w:w="0" w:type="dxa"/>
            <w:right w:w="0" w:type="dxa"/>
          </w:tblCellMar>
        </w:tblPrEx>
        <w:trPr>
          <w:trHeight w:val="308" w:hRule="atLeast"/>
        </w:trPr>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5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471,700.00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161,413,574.13</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160,299,733.53</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160,299,733.53</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1,585,540.60</w:t>
            </w:r>
          </w:p>
        </w:tc>
      </w:tr>
      <w:tr>
        <w:tblPrEx>
          <w:shd w:val="clear" w:color="auto" w:fill="auto"/>
          <w:tblCellMar>
            <w:top w:w="0" w:type="dxa"/>
            <w:left w:w="0" w:type="dxa"/>
            <w:bottom w:w="0" w:type="dxa"/>
            <w:right w:w="0" w:type="dxa"/>
          </w:tblCellMar>
        </w:tblPrEx>
        <w:trPr>
          <w:trHeight w:val="308" w:hRule="atLeast"/>
        </w:trPr>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2120801</w:t>
            </w:r>
          </w:p>
        </w:tc>
        <w:tc>
          <w:tcPr>
            <w:tcW w:w="5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471,700.00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102,621,836.13</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103,093,536.13</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103,093,536.13</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2120810</w:t>
            </w:r>
          </w:p>
        </w:tc>
        <w:tc>
          <w:tcPr>
            <w:tcW w:w="5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30,000,000.00</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28,414,459.40</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28,414,459.40</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1,585,540.60</w:t>
            </w:r>
          </w:p>
        </w:tc>
      </w:tr>
      <w:tr>
        <w:tblPrEx>
          <w:shd w:val="clear" w:color="auto" w:fill="auto"/>
          <w:tblCellMar>
            <w:top w:w="0" w:type="dxa"/>
            <w:left w:w="0" w:type="dxa"/>
            <w:bottom w:w="0" w:type="dxa"/>
            <w:right w:w="0" w:type="dxa"/>
          </w:tblCellMar>
        </w:tblPrEx>
        <w:trPr>
          <w:trHeight w:val="308" w:hRule="atLeast"/>
        </w:trPr>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5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28,791,738.00</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28,791,738.00</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28,791,738.00</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5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5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5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1,920,000.00</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5752" w:type="dxa"/>
            <w:gridSpan w:val="10"/>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注：本表反映部门本年度政府性基金预算财政拨款收入支出及结转结余情况,数据取自财决09表</w:t>
            </w:r>
          </w:p>
        </w:tc>
      </w:tr>
    </w:tbl>
    <w:p>
      <w:pPr>
        <w:spacing w:line="580" w:lineRule="exact"/>
      </w:pPr>
    </w:p>
    <w:p/>
    <w:p/>
    <w:p/>
    <w:p/>
    <w:p/>
    <w:p/>
    <w:p>
      <w:pPr>
        <w:tabs>
          <w:tab w:val="left" w:pos="1237"/>
        </w:tabs>
        <w:jc w:val="lef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年度收入总计</w:t>
      </w:r>
      <w:r>
        <w:rPr>
          <w:rFonts w:hint="eastAsia" w:ascii="仿宋_GB2312" w:hAnsi="宋体" w:eastAsia="仿宋_GB2312"/>
          <w:kern w:val="0"/>
          <w:sz w:val="32"/>
          <w:szCs w:val="32"/>
        </w:rPr>
        <w:t>559,678,776.84</w:t>
      </w:r>
      <w:r>
        <w:rPr>
          <w:rFonts w:ascii="仿宋_GB2312" w:hAnsi="宋体" w:eastAsia="仿宋_GB2312"/>
          <w:kern w:val="0"/>
          <w:sz w:val="32"/>
          <w:szCs w:val="32"/>
        </w:rPr>
        <w:t>元，支出总计</w:t>
      </w:r>
      <w:r>
        <w:rPr>
          <w:rFonts w:hint="eastAsia" w:ascii="仿宋_GB2312" w:hAnsi="宋体" w:eastAsia="仿宋_GB2312"/>
          <w:kern w:val="0"/>
          <w:sz w:val="32"/>
          <w:szCs w:val="32"/>
        </w:rPr>
        <w:t>474,367,012.24</w:t>
      </w:r>
      <w:r>
        <w:rPr>
          <w:rFonts w:ascii="仿宋_GB2312" w:hAnsi="宋体" w:eastAsia="仿宋_GB2312"/>
          <w:kern w:val="0"/>
          <w:sz w:val="32"/>
          <w:szCs w:val="32"/>
        </w:rPr>
        <w:t>元。与201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254,730,735.69</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，同比</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83.53</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支出增加</w:t>
      </w:r>
      <w:r>
        <w:rPr>
          <w:rFonts w:hint="eastAsia" w:ascii="仿宋_GB2312" w:hAnsi="宋体" w:eastAsia="仿宋_GB2312"/>
          <w:kern w:val="0"/>
          <w:sz w:val="32"/>
          <w:szCs w:val="32"/>
          <w:lang w:val="en-US" w:eastAsia="zh-CN"/>
        </w:rPr>
        <w:t>166,898,921.05元，同比增长54.28%。</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9</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rPr>
        <w:t>559,678,776.84</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550,334,857.94</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98.33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；其他收入9,343,918.90元，占</w:t>
      </w:r>
      <w:r>
        <w:rPr>
          <w:rFonts w:hint="eastAsia" w:ascii="仿宋_GB2312" w:hAnsi="宋体" w:eastAsia="仿宋_GB2312" w:cs="Times New Roman"/>
          <w:color w:val="auto"/>
          <w:sz w:val="32"/>
          <w:szCs w:val="32"/>
          <w:lang w:val="en-US" w:eastAsia="zh-CN"/>
        </w:rPr>
        <w:t>1.67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年度支出合计</w:t>
      </w:r>
      <w:r>
        <w:rPr>
          <w:rFonts w:hint="eastAsia" w:ascii="仿宋_GB2312" w:hAnsi="宋体" w:eastAsia="仿宋_GB2312"/>
          <w:kern w:val="0"/>
          <w:sz w:val="32"/>
          <w:szCs w:val="32"/>
        </w:rPr>
        <w:t>474,367,012.24</w:t>
      </w:r>
      <w:r>
        <w:rPr>
          <w:rFonts w:ascii="仿宋_GB2312" w:hAnsi="宋体" w:eastAsia="仿宋_GB2312"/>
          <w:kern w:val="0"/>
          <w:sz w:val="32"/>
          <w:szCs w:val="32"/>
        </w:rPr>
        <w:t>元，其中：基本支出</w:t>
      </w:r>
      <w:r>
        <w:rPr>
          <w:rFonts w:hint="eastAsia" w:ascii="仿宋_GB2312" w:hAnsi="宋体" w:eastAsia="仿宋_GB2312"/>
          <w:kern w:val="0"/>
          <w:sz w:val="32"/>
          <w:szCs w:val="32"/>
        </w:rPr>
        <w:t>29,523,997.12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6.22</w:t>
      </w:r>
      <w:r>
        <w:rPr>
          <w:rFonts w:ascii="仿宋_GB2312" w:hAnsi="宋体" w:eastAsia="仿宋_GB2312"/>
          <w:kern w:val="0"/>
          <w:sz w:val="32"/>
          <w:szCs w:val="32"/>
        </w:rPr>
        <w:t>%；项目支出</w:t>
      </w:r>
      <w:r>
        <w:rPr>
          <w:rFonts w:hint="eastAsia" w:ascii="仿宋_GB2312" w:hAnsi="宋体" w:eastAsia="仿宋_GB2312"/>
          <w:kern w:val="0"/>
          <w:sz w:val="32"/>
          <w:szCs w:val="32"/>
        </w:rPr>
        <w:t>444,843,015.12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93.78</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outlineLvl w:val="1"/>
        <w:rPr>
          <w:rFonts w:hint="default" w:ascii="仿宋_GB2312" w:hAnsi="宋体" w:eastAsia="仿宋_GB2312"/>
          <w:kern w:val="0"/>
          <w:sz w:val="32"/>
          <w:szCs w:val="32"/>
          <w:lang w:val="en-US"/>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9年度财政拨款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550,334,857.94</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w:t>
      </w:r>
      <w:r>
        <w:rPr>
          <w:rFonts w:hint="eastAsia" w:ascii="仿宋_GB2312" w:hAnsi="宋体" w:eastAsia="仿宋_GB2312"/>
          <w:kern w:val="0"/>
          <w:sz w:val="32"/>
          <w:szCs w:val="32"/>
          <w:lang w:val="en-US" w:eastAsia="zh-CN"/>
        </w:rPr>
        <w:t>,财政拨款收入总计增加261,361,446.84元，同比增长94.44%，</w:t>
      </w:r>
      <w:r>
        <w:rPr>
          <w:rFonts w:ascii="仿宋_GB2312" w:hAnsi="宋体" w:eastAsia="仿宋_GB2312"/>
          <w:kern w:val="0"/>
          <w:sz w:val="32"/>
          <w:szCs w:val="32"/>
        </w:rPr>
        <w:t>支出总计</w:t>
      </w:r>
      <w:r>
        <w:rPr>
          <w:rFonts w:hint="eastAsia" w:ascii="仿宋_GB2312" w:hAnsi="宋体" w:eastAsia="仿宋_GB2312"/>
          <w:kern w:val="0"/>
          <w:sz w:val="32"/>
          <w:szCs w:val="32"/>
        </w:rPr>
        <w:t>469,504,123.69</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w:t>
      </w:r>
      <w:r>
        <w:rPr>
          <w:rFonts w:hint="eastAsia" w:ascii="仿宋_GB2312" w:hAnsi="宋体" w:eastAsia="仿宋_GB2312"/>
          <w:kern w:val="0"/>
          <w:sz w:val="32"/>
          <w:szCs w:val="32"/>
          <w:lang w:val="en-US" w:eastAsia="zh-CN"/>
        </w:rPr>
        <w:t>,财政拨款支出总计增加179,815,194.07元，同比增长62.07%。</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2019年度一般公共预算财政拨款支出307,284,390.16元，占本年支出合计的</w:t>
      </w:r>
      <w:r>
        <w:rPr>
          <w:rFonts w:hint="eastAsia" w:ascii="仿宋_GB2312" w:hAnsi="仿宋_GB2312" w:eastAsia="仿宋_GB2312" w:cs="仿宋_GB2312"/>
          <w:kern w:val="0"/>
          <w:sz w:val="32"/>
          <w:szCs w:val="32"/>
          <w:lang w:val="en-US" w:eastAsia="zh-CN"/>
        </w:rPr>
        <w:t>64.78</w:t>
      </w:r>
      <w:r>
        <w:rPr>
          <w:rFonts w:hint="eastAsia" w:ascii="仿宋_GB2312" w:hAnsi="仿宋_GB2312" w:eastAsia="仿宋_GB2312" w:cs="仿宋_GB2312"/>
          <w:kern w:val="0"/>
          <w:sz w:val="32"/>
          <w:szCs w:val="32"/>
        </w:rPr>
        <w:t>%。与2018年度相比，一般公共预算财政拨款支出增加</w:t>
      </w:r>
      <w:r>
        <w:rPr>
          <w:rFonts w:hint="eastAsia" w:ascii="仿宋_GB2312" w:hAnsi="仿宋_GB2312" w:eastAsia="仿宋_GB2312" w:cs="仿宋_GB2312"/>
          <w:kern w:val="0"/>
          <w:sz w:val="32"/>
          <w:szCs w:val="32"/>
          <w:lang w:val="en-US" w:eastAsia="zh-CN"/>
        </w:rPr>
        <w:t>153793107.85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100.20</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2019年度一般公共预算财政拨款支出307,284,390.16元，主要用于以下方面：（按支出功能分类科目说明）如：一般公共服务（类）支出62,423,138.64元，占</w:t>
      </w:r>
      <w:r>
        <w:rPr>
          <w:rFonts w:hint="eastAsia" w:ascii="仿宋_GB2312" w:hAnsi="仿宋_GB2312" w:eastAsia="仿宋_GB2312" w:cs="仿宋_GB2312"/>
          <w:kern w:val="0"/>
          <w:sz w:val="32"/>
          <w:szCs w:val="32"/>
          <w:lang w:val="en-US" w:eastAsia="zh-CN"/>
        </w:rPr>
        <w:t>20.31</w:t>
      </w:r>
      <w:r>
        <w:rPr>
          <w:rFonts w:hint="eastAsia" w:ascii="仿宋_GB2312" w:hAnsi="仿宋_GB2312" w:eastAsia="仿宋_GB2312" w:cs="仿宋_GB2312"/>
          <w:kern w:val="0"/>
          <w:sz w:val="32"/>
          <w:szCs w:val="32"/>
        </w:rPr>
        <w:t>%；教育（类）支出6,370,000.00元，占</w:t>
      </w:r>
      <w:r>
        <w:rPr>
          <w:rFonts w:hint="eastAsia" w:ascii="仿宋_GB2312" w:hAnsi="仿宋_GB2312" w:eastAsia="仿宋_GB2312" w:cs="仿宋_GB2312"/>
          <w:kern w:val="0"/>
          <w:sz w:val="32"/>
          <w:szCs w:val="32"/>
          <w:lang w:val="en-US" w:eastAsia="zh-CN"/>
        </w:rPr>
        <w:t>2.07</w:t>
      </w:r>
      <w:r>
        <w:rPr>
          <w:rFonts w:hint="eastAsia" w:ascii="仿宋_GB2312" w:hAnsi="仿宋_GB2312" w:eastAsia="仿宋_GB2312" w:cs="仿宋_GB2312"/>
          <w:kern w:val="0"/>
          <w:sz w:val="32"/>
          <w:szCs w:val="32"/>
        </w:rPr>
        <w:t>%；科学技术（类）支出200,000.00元，占</w:t>
      </w:r>
      <w:r>
        <w:rPr>
          <w:rFonts w:hint="eastAsia" w:ascii="仿宋_GB2312" w:hAnsi="仿宋_GB2312" w:eastAsia="仿宋_GB2312" w:cs="仿宋_GB2312"/>
          <w:kern w:val="0"/>
          <w:sz w:val="32"/>
          <w:szCs w:val="32"/>
          <w:lang w:val="en-US" w:eastAsia="zh-CN"/>
        </w:rPr>
        <w:t>0.07</w:t>
      </w:r>
      <w:r>
        <w:rPr>
          <w:rFonts w:hint="eastAsia" w:ascii="仿宋_GB2312" w:hAnsi="仿宋_GB2312" w:eastAsia="仿宋_GB2312" w:cs="仿宋_GB2312"/>
          <w:kern w:val="0"/>
          <w:sz w:val="32"/>
          <w:szCs w:val="32"/>
        </w:rPr>
        <w:t>%；文化旅游体育与传媒（类）支出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%；社会保障和就业（类）支出4,859,253.26元，占</w:t>
      </w:r>
      <w:r>
        <w:rPr>
          <w:rFonts w:hint="eastAsia" w:ascii="仿宋_GB2312" w:hAnsi="仿宋_GB2312" w:eastAsia="仿宋_GB2312" w:cs="仿宋_GB2312"/>
          <w:kern w:val="0"/>
          <w:sz w:val="32"/>
          <w:szCs w:val="32"/>
          <w:lang w:val="en-US" w:eastAsia="zh-CN"/>
        </w:rPr>
        <w:t>1.58</w:t>
      </w:r>
      <w:r>
        <w:rPr>
          <w:rFonts w:hint="eastAsia" w:ascii="仿宋_GB2312" w:hAnsi="仿宋_GB2312" w:eastAsia="仿宋_GB2312" w:cs="仿宋_GB2312"/>
          <w:kern w:val="0"/>
          <w:sz w:val="32"/>
          <w:szCs w:val="32"/>
        </w:rPr>
        <w:t>%；卫生健康（类）支出746,272.01元，占</w:t>
      </w:r>
      <w:r>
        <w:rPr>
          <w:rFonts w:hint="eastAsia" w:ascii="仿宋_GB2312" w:hAnsi="仿宋_GB2312" w:eastAsia="仿宋_GB2312" w:cs="仿宋_GB2312"/>
          <w:kern w:val="0"/>
          <w:sz w:val="32"/>
          <w:szCs w:val="32"/>
          <w:lang w:val="en-US" w:eastAsia="zh-CN"/>
        </w:rPr>
        <w:t>0.24</w:t>
      </w:r>
      <w:r>
        <w:rPr>
          <w:rFonts w:hint="eastAsia" w:ascii="仿宋_GB2312" w:hAnsi="仿宋_GB2312" w:eastAsia="仿宋_GB2312" w:cs="仿宋_GB2312"/>
          <w:kern w:val="0"/>
          <w:sz w:val="32"/>
          <w:szCs w:val="32"/>
        </w:rPr>
        <w:t>%；节能环保（类）支出10,399,684.58元，占</w:t>
      </w:r>
      <w:r>
        <w:rPr>
          <w:rFonts w:hint="eastAsia" w:ascii="仿宋_GB2312" w:hAnsi="仿宋_GB2312" w:eastAsia="仿宋_GB2312" w:cs="仿宋_GB2312"/>
          <w:kern w:val="0"/>
          <w:sz w:val="32"/>
          <w:szCs w:val="32"/>
          <w:lang w:val="en-US" w:eastAsia="zh-CN"/>
        </w:rPr>
        <w:t>3.38</w:t>
      </w:r>
      <w:r>
        <w:rPr>
          <w:rFonts w:hint="eastAsia" w:ascii="仿宋_GB2312" w:hAnsi="仿宋_GB2312" w:eastAsia="仿宋_GB2312" w:cs="仿宋_GB2312"/>
          <w:kern w:val="0"/>
          <w:sz w:val="32"/>
          <w:szCs w:val="32"/>
        </w:rPr>
        <w:t>%；城乡社区（类）支出105,867,924.36元，占</w:t>
      </w:r>
      <w:r>
        <w:rPr>
          <w:rFonts w:hint="eastAsia" w:ascii="仿宋_GB2312" w:hAnsi="仿宋_GB2312" w:eastAsia="仿宋_GB2312" w:cs="仿宋_GB2312"/>
          <w:kern w:val="0"/>
          <w:sz w:val="32"/>
          <w:szCs w:val="32"/>
          <w:lang w:val="en-US" w:eastAsia="zh-CN"/>
        </w:rPr>
        <w:t>34.45</w:t>
      </w:r>
      <w:r>
        <w:rPr>
          <w:rFonts w:hint="eastAsia" w:ascii="仿宋_GB2312" w:hAnsi="仿宋_GB2312" w:eastAsia="仿宋_GB2312" w:cs="仿宋_GB2312"/>
          <w:kern w:val="0"/>
          <w:sz w:val="32"/>
          <w:szCs w:val="32"/>
        </w:rPr>
        <w:t>%；资源勘探信息（类）支出43,800,000.00元，占</w:t>
      </w:r>
      <w:r>
        <w:rPr>
          <w:rFonts w:hint="eastAsia" w:ascii="仿宋_GB2312" w:hAnsi="仿宋_GB2312" w:eastAsia="仿宋_GB2312" w:cs="仿宋_GB2312"/>
          <w:kern w:val="0"/>
          <w:sz w:val="32"/>
          <w:szCs w:val="32"/>
          <w:lang w:val="en-US" w:eastAsia="zh-CN"/>
        </w:rPr>
        <w:t>14.25</w:t>
      </w:r>
      <w:r>
        <w:rPr>
          <w:rFonts w:hint="eastAsia" w:ascii="仿宋_GB2312" w:hAnsi="仿宋_GB2312" w:eastAsia="仿宋_GB2312" w:cs="仿宋_GB2312"/>
          <w:kern w:val="0"/>
          <w:sz w:val="32"/>
          <w:szCs w:val="32"/>
        </w:rPr>
        <w:t>%；农林水（类）支出5,910,301.37元，占</w:t>
      </w:r>
      <w:r>
        <w:rPr>
          <w:rFonts w:hint="eastAsia" w:ascii="仿宋_GB2312" w:hAnsi="仿宋_GB2312" w:eastAsia="仿宋_GB2312" w:cs="仿宋_GB2312"/>
          <w:kern w:val="0"/>
          <w:sz w:val="32"/>
          <w:szCs w:val="32"/>
          <w:lang w:val="en-US" w:eastAsia="zh-CN"/>
        </w:rPr>
        <w:t>1.92</w:t>
      </w:r>
      <w:r>
        <w:rPr>
          <w:rFonts w:hint="eastAsia" w:ascii="仿宋_GB2312" w:hAnsi="仿宋_GB2312" w:eastAsia="仿宋_GB2312" w:cs="仿宋_GB2312"/>
          <w:kern w:val="0"/>
          <w:sz w:val="32"/>
          <w:szCs w:val="32"/>
        </w:rPr>
        <w:t>%；交通运输（类）支出20,309,090.00元，占</w:t>
      </w:r>
      <w:r>
        <w:rPr>
          <w:rFonts w:hint="eastAsia" w:ascii="仿宋_GB2312" w:hAnsi="仿宋_GB2312" w:eastAsia="仿宋_GB2312" w:cs="仿宋_GB2312"/>
          <w:kern w:val="0"/>
          <w:sz w:val="32"/>
          <w:szCs w:val="32"/>
          <w:lang w:val="en-US" w:eastAsia="zh-CN"/>
        </w:rPr>
        <w:t>6.61</w:t>
      </w:r>
      <w:r>
        <w:rPr>
          <w:rFonts w:hint="eastAsia" w:ascii="仿宋_GB2312" w:hAnsi="仿宋_GB2312" w:eastAsia="仿宋_GB2312" w:cs="仿宋_GB2312"/>
          <w:kern w:val="0"/>
          <w:sz w:val="32"/>
          <w:szCs w:val="32"/>
        </w:rPr>
        <w:t>%；自然资源海洋气象（类）支出1,194,000.00元，占</w:t>
      </w:r>
      <w:r>
        <w:rPr>
          <w:rFonts w:hint="eastAsia" w:ascii="仿宋_GB2312" w:hAnsi="仿宋_GB2312" w:eastAsia="仿宋_GB2312" w:cs="仿宋_GB2312"/>
          <w:kern w:val="0"/>
          <w:sz w:val="32"/>
          <w:szCs w:val="32"/>
          <w:lang w:val="en-US" w:eastAsia="zh-CN"/>
        </w:rPr>
        <w:t>0.39</w:t>
      </w:r>
      <w:r>
        <w:rPr>
          <w:rFonts w:hint="eastAsia" w:ascii="仿宋_GB2312" w:hAnsi="仿宋_GB2312" w:eastAsia="仿宋_GB2312" w:cs="仿宋_GB2312"/>
          <w:kern w:val="0"/>
          <w:sz w:val="32"/>
          <w:szCs w:val="32"/>
        </w:rPr>
        <w:t>%；住房保障（类）支出27,492,459.71元，占</w:t>
      </w:r>
      <w:r>
        <w:rPr>
          <w:rFonts w:hint="eastAsia" w:ascii="仿宋_GB2312" w:hAnsi="仿宋_GB2312" w:eastAsia="仿宋_GB2312" w:cs="仿宋_GB2312"/>
          <w:kern w:val="0"/>
          <w:sz w:val="32"/>
          <w:szCs w:val="32"/>
          <w:lang w:val="en-US" w:eastAsia="zh-CN"/>
        </w:rPr>
        <w:t>8.95</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2019年度一般公共预算财政拨款支出年初预算为469,504,123.69元，支出决算为469,504,123.69元，完成年初预算的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%。决算数大于（小于）预算数的主要原因：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9年度一般公共预算财政拨款基本支出29,448,739.80元，</w:t>
      </w:r>
      <w:r>
        <w:rPr>
          <w:rFonts w:ascii="仿宋_GB2312" w:hAnsi="宋体" w:eastAsia="仿宋_GB2312"/>
          <w:sz w:val="32"/>
          <w:szCs w:val="32"/>
        </w:rPr>
        <w:t>其中：人员经费</w:t>
      </w:r>
      <w:r>
        <w:rPr>
          <w:rFonts w:hint="eastAsia" w:ascii="仿宋_GB2312" w:hAnsi="宋体" w:eastAsia="仿宋_GB2312"/>
          <w:sz w:val="32"/>
          <w:szCs w:val="32"/>
        </w:rPr>
        <w:t>22,452,716.99</w:t>
      </w:r>
      <w:r>
        <w:rPr>
          <w:rFonts w:ascii="仿宋_GB2312" w:hAnsi="宋体" w:eastAsia="仿宋_GB2312"/>
          <w:sz w:val="32"/>
          <w:szCs w:val="32"/>
        </w:rPr>
        <w:t>元，公用经费</w:t>
      </w:r>
      <w:r>
        <w:rPr>
          <w:rFonts w:hint="eastAsia" w:ascii="仿宋_GB2312" w:hAnsi="宋体" w:eastAsia="仿宋_GB2312"/>
          <w:sz w:val="32"/>
          <w:szCs w:val="32"/>
        </w:rPr>
        <w:t>6,996,022.81</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工资福利支出22,385,431.92元，较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8年度决算数减少</w:t>
      </w:r>
      <w:r>
        <w:rPr>
          <w:rFonts w:hint="eastAsia" w:ascii="仿宋_GB2312" w:hAnsi="宋体" w:eastAsia="仿宋_GB2312" w:cs="Times New Roman"/>
          <w:color w:val="auto"/>
          <w:sz w:val="32"/>
          <w:szCs w:val="32"/>
          <w:lang w:val="en-US" w:eastAsia="zh-CN"/>
        </w:rPr>
        <w:t>4,472,322.26</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宋体" w:eastAsia="仿宋_GB2312" w:cs="Times New Roman"/>
          <w:color w:val="auto"/>
          <w:sz w:val="32"/>
          <w:szCs w:val="32"/>
          <w:lang w:val="en-US" w:eastAsia="zh-CN"/>
        </w:rPr>
        <w:t>16.65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商品和服务支出65,152,953.30元，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w:t>
      </w:r>
      <w:r>
        <w:rPr>
          <w:rFonts w:hint="eastAsia" w:ascii="仿宋_GB2312" w:hAnsi="宋体" w:eastAsia="仿宋_GB2312" w:cs="Times New Roman"/>
          <w:color w:val="auto"/>
          <w:sz w:val="32"/>
          <w:szCs w:val="32"/>
          <w:lang w:val="en-US" w:eastAsia="zh-CN"/>
        </w:rPr>
        <w:t>17,151,623.95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35.73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对个人和家庭的补助3,337,101.36元，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w:t>
      </w:r>
      <w:r>
        <w:rPr>
          <w:rFonts w:hint="eastAsia" w:ascii="仿宋_GB2312" w:hAnsi="宋体" w:eastAsia="仿宋_GB2312" w:cs="Times New Roman"/>
          <w:color w:val="auto"/>
          <w:sz w:val="32"/>
          <w:szCs w:val="32"/>
          <w:lang w:val="en-US" w:eastAsia="zh-CN"/>
        </w:rPr>
        <w:t>1,810,488.98</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118.60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资本性支出307,817,134.11元，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w:t>
      </w:r>
      <w:r>
        <w:rPr>
          <w:rFonts w:hint="eastAsia" w:ascii="仿宋_GB2312" w:hAnsi="宋体" w:eastAsia="仿宋_GB2312" w:cs="Times New Roman"/>
          <w:color w:val="auto"/>
          <w:sz w:val="32"/>
          <w:szCs w:val="32"/>
          <w:lang w:val="en-US" w:eastAsia="zh-CN"/>
        </w:rPr>
        <w:t>231,111,547.71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301.30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对企业补助46,976,590.00元，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w:t>
      </w:r>
      <w:r>
        <w:rPr>
          <w:rFonts w:hint="eastAsia" w:ascii="仿宋_GB2312" w:hAnsi="宋体" w:eastAsia="仿宋_GB2312" w:cs="Times New Roman"/>
          <w:color w:val="auto"/>
          <w:sz w:val="32"/>
          <w:szCs w:val="32"/>
          <w:lang w:val="en-US" w:eastAsia="zh-CN"/>
        </w:rPr>
        <w:t>45842143.49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4040.93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其他支出4,120,000.00元，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w:t>
      </w:r>
      <w:r>
        <w:rPr>
          <w:rFonts w:hint="eastAsia" w:ascii="仿宋_GB2312" w:hAnsi="宋体" w:eastAsia="仿宋_GB2312" w:cs="Times New Roman"/>
          <w:color w:val="auto"/>
          <w:sz w:val="32"/>
          <w:szCs w:val="32"/>
          <w:lang w:val="en-US" w:eastAsia="zh-CN"/>
        </w:rPr>
        <w:t>1,297,907.2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45.99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2019年度“三公”经费一般公共预算财政拨款支出预算为1,320,000.00元，支出决算为1,148,299.05元，完成预算的</w:t>
      </w:r>
      <w:r>
        <w:rPr>
          <w:rFonts w:hint="eastAsia" w:ascii="仿宋_GB2312" w:hAnsi="仿宋_GB2312" w:eastAsia="仿宋_GB2312" w:cs="仿宋_GB2312"/>
          <w:kern w:val="0"/>
          <w:sz w:val="32"/>
          <w:szCs w:val="32"/>
          <w:lang w:val="en-US" w:eastAsia="zh-CN"/>
        </w:rPr>
        <w:t>86.99</w:t>
      </w:r>
      <w:r>
        <w:rPr>
          <w:rFonts w:hint="eastAsia" w:ascii="仿宋_GB2312" w:hAnsi="仿宋_GB2312" w:eastAsia="仿宋_GB2312" w:cs="仿宋_GB2312"/>
          <w:kern w:val="0"/>
          <w:sz w:val="32"/>
          <w:szCs w:val="32"/>
        </w:rPr>
        <w:t>%，2019年度“三公”经费支出决算数小于预算数的主要原因：</w:t>
      </w:r>
      <w:r>
        <w:rPr>
          <w:rFonts w:hint="eastAsia" w:ascii="仿宋_GB2312" w:hAnsi="仿宋_GB2312" w:eastAsia="仿宋_GB2312" w:cs="仿宋_GB2312"/>
          <w:kern w:val="0"/>
          <w:sz w:val="32"/>
          <w:szCs w:val="32"/>
          <w:lang w:eastAsia="zh-CN"/>
        </w:rPr>
        <w:t>在经费支出执行过程中按照要求适当压减三公经费支出</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2019年度“三公”经费一般公共预算财政拨款支出决算数比2018年度减少</w:t>
      </w:r>
      <w:r>
        <w:rPr>
          <w:rFonts w:hint="eastAsia" w:ascii="仿宋_GB2312" w:hAnsi="仿宋_GB2312" w:eastAsia="仿宋_GB2312" w:cs="仿宋_GB2312"/>
          <w:kern w:val="0"/>
          <w:sz w:val="32"/>
          <w:szCs w:val="32"/>
          <w:lang w:val="en-US" w:eastAsia="zh-CN"/>
        </w:rPr>
        <w:t>215,968.58</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13.19</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699,124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94.87</w:t>
      </w:r>
      <w:r>
        <w:rPr>
          <w:rFonts w:hint="eastAsia" w:ascii="仿宋_GB2312" w:hAnsi="仿宋_GB2312" w:eastAsia="仿宋_GB2312" w:cs="仿宋_GB2312"/>
          <w:kern w:val="0"/>
          <w:sz w:val="32"/>
          <w:szCs w:val="32"/>
        </w:rPr>
        <w:t>%；公务用车购置及运行费支出决算</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295,766.39</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47.48</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84,766.34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30.65</w:t>
      </w:r>
      <w:r>
        <w:rPr>
          <w:rFonts w:hint="eastAsia" w:ascii="仿宋_GB2312" w:hAnsi="仿宋_GB2312" w:eastAsia="仿宋_GB2312" w:cs="仿宋_GB2312"/>
          <w:kern w:val="0"/>
          <w:sz w:val="32"/>
          <w:szCs w:val="32"/>
        </w:rPr>
        <w:t>%；因公出国（境）费支出减少的主要原因是</w:t>
      </w:r>
      <w:r>
        <w:rPr>
          <w:rFonts w:hint="eastAsia" w:ascii="仿宋_GB2312" w:hAnsi="仿宋_GB2312" w:eastAsia="仿宋_GB2312" w:cs="仿宋_GB2312"/>
          <w:kern w:val="0"/>
          <w:sz w:val="32"/>
          <w:szCs w:val="32"/>
          <w:lang w:val="en-US" w:eastAsia="zh-CN"/>
        </w:rPr>
        <w:t>2018年度根据实际招商业务需求和自治区外办文件批准，组织4个团组赴国外进行招商项目洽谈，2019年度无出国招商计划</w:t>
      </w:r>
      <w:r>
        <w:rPr>
          <w:rFonts w:hint="eastAsia" w:ascii="仿宋_GB2312" w:hAnsi="仿宋_GB2312" w:eastAsia="仿宋_GB2312" w:cs="仿宋_GB2312"/>
          <w:kern w:val="0"/>
          <w:sz w:val="32"/>
          <w:szCs w:val="32"/>
        </w:rPr>
        <w:t>；公务用车购置及运行费支出增</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rPr>
        <w:t>的主要原因是</w:t>
      </w:r>
      <w:r>
        <w:rPr>
          <w:rFonts w:hint="eastAsia" w:ascii="仿宋_GB2312" w:hAnsi="仿宋_GB2312" w:eastAsia="仿宋_GB2312" w:cs="仿宋_GB2312"/>
          <w:kern w:val="0"/>
          <w:sz w:val="32"/>
          <w:szCs w:val="32"/>
          <w:lang w:val="en-US" w:eastAsia="zh-CN"/>
        </w:rPr>
        <w:t>2019年度管委会新购入公务车辆3辆</w:t>
      </w:r>
      <w:r>
        <w:rPr>
          <w:rFonts w:hint="eastAsia" w:ascii="仿宋_GB2312" w:hAnsi="仿宋_GB2312" w:eastAsia="仿宋_GB2312" w:cs="仿宋_GB2312"/>
          <w:kern w:val="0"/>
          <w:sz w:val="32"/>
          <w:szCs w:val="32"/>
        </w:rPr>
        <w:t>；公务接待费支出减少的主要原因是</w:t>
      </w:r>
      <w:r>
        <w:rPr>
          <w:rFonts w:hint="eastAsia" w:ascii="仿宋_GB2312" w:hAnsi="仿宋_GB2312" w:eastAsia="仿宋_GB2312" w:cs="仿宋_GB2312"/>
          <w:kern w:val="0"/>
          <w:sz w:val="32"/>
          <w:szCs w:val="32"/>
          <w:lang w:eastAsia="zh-CN"/>
        </w:rPr>
        <w:t>单位树立过紧日子的思想，建设节约型政府机构，严格按照自治区相关文件要求压减经费支出</w:t>
      </w:r>
      <w:r>
        <w:rPr>
          <w:rFonts w:hint="eastAsia" w:ascii="仿宋_GB2312" w:hAnsi="仿宋_GB2312" w:eastAsia="仿宋_GB2312" w:cs="仿宋_GB2312"/>
          <w:kern w:val="0"/>
          <w:sz w:val="32"/>
          <w:szCs w:val="32"/>
        </w:rPr>
        <w:t>。</w:t>
      </w:r>
    </w:p>
    <w:p>
      <w:pPr>
        <w:pStyle w:val="7"/>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2019年度“三公”经费一般公共预算财政拨款支出决算中，因公出国（境）费支出决算37,817.60元，占</w:t>
      </w:r>
      <w:r>
        <w:rPr>
          <w:rFonts w:hint="eastAsia" w:ascii="仿宋_GB2312" w:hAnsi="仿宋_GB2312" w:eastAsia="仿宋_GB2312" w:cs="仿宋_GB2312"/>
          <w:color w:val="auto"/>
          <w:sz w:val="32"/>
          <w:szCs w:val="32"/>
          <w:lang w:val="en-US" w:eastAsia="zh-CN"/>
        </w:rPr>
        <w:t>3.29</w:t>
      </w:r>
      <w:r>
        <w:rPr>
          <w:rFonts w:hint="eastAsia" w:ascii="仿宋_GB2312" w:hAnsi="仿宋_GB2312" w:eastAsia="仿宋_GB2312" w:cs="仿宋_GB2312"/>
          <w:color w:val="auto"/>
          <w:sz w:val="32"/>
          <w:szCs w:val="32"/>
        </w:rPr>
        <w:t>%；公务用车购置及运行费支出决918,642.45元，占</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rPr>
        <w:t>%；公务接待费支出决算191,839.00元，占</w:t>
      </w:r>
      <w:r>
        <w:rPr>
          <w:rFonts w:hint="eastAsia" w:ascii="仿宋_GB2312" w:hAnsi="仿宋_GB2312" w:eastAsia="仿宋_GB2312" w:cs="仿宋_GB2312"/>
          <w:color w:val="auto"/>
          <w:sz w:val="32"/>
          <w:szCs w:val="32"/>
          <w:lang w:val="en-US" w:eastAsia="zh-CN"/>
        </w:rPr>
        <w:t>16.71</w:t>
      </w:r>
      <w:r>
        <w:rPr>
          <w:rFonts w:hint="eastAsia" w:ascii="仿宋_GB2312" w:hAnsi="仿宋_GB2312" w:eastAsia="仿宋_GB2312" w:cs="仿宋_GB2312"/>
          <w:color w:val="auto"/>
          <w:sz w:val="32"/>
          <w:szCs w:val="32"/>
        </w:rPr>
        <w:t>%。具体情况如下：</w:t>
      </w:r>
    </w:p>
    <w:p>
      <w:pPr>
        <w:pStyle w:val="7"/>
        <w:spacing w:line="56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预算为40,000.00元，</w:t>
      </w:r>
      <w:r>
        <w:rPr>
          <w:rFonts w:hint="eastAsia" w:ascii="仿宋_GB2312" w:hAnsi="仿宋_GB2312" w:eastAsia="仿宋_GB2312" w:cs="仿宋_GB2312"/>
          <w:sz w:val="32"/>
          <w:szCs w:val="32"/>
        </w:rPr>
        <w:t>支出决算为37,817.60元，完成预算的</w:t>
      </w:r>
      <w:r>
        <w:rPr>
          <w:rFonts w:hint="eastAsia" w:ascii="仿宋_GB2312" w:hAnsi="仿宋_GB2312" w:eastAsia="仿宋_GB2312" w:cs="仿宋_GB2312"/>
          <w:sz w:val="32"/>
          <w:szCs w:val="32"/>
          <w:lang w:val="en-US" w:eastAsia="zh-CN"/>
        </w:rPr>
        <w:t>94.54</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2019年度因公出国（境）团组数</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人次。开支内容包括：</w:t>
      </w:r>
      <w:r>
        <w:rPr>
          <w:rFonts w:hint="eastAsia" w:ascii="仿宋_GB2312" w:hAnsi="宋体" w:eastAsia="仿宋_GB2312" w:cs="Times New Roman"/>
          <w:color w:val="auto"/>
          <w:sz w:val="32"/>
          <w:szCs w:val="32"/>
          <w:lang w:eastAsia="zh-CN"/>
        </w:rPr>
        <w:t>国际旅费、住宿费、伙食费、公杂费、国外城市间交通费等</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预算为980,000.00元，支出决算为918,642.45元，完成预算的</w:t>
      </w:r>
      <w:r>
        <w:rPr>
          <w:rFonts w:hint="eastAsia" w:ascii="仿宋_GB2312" w:hAnsi="仿宋_GB2312" w:eastAsia="仿宋_GB2312" w:cs="仿宋_GB2312"/>
          <w:kern w:val="0"/>
          <w:sz w:val="32"/>
          <w:szCs w:val="32"/>
          <w:lang w:val="en-US" w:eastAsia="zh-CN"/>
        </w:rPr>
        <w:t>93.74</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其中：公务用车购置费支出为539,400.00元，公务用车运行维护费支出379,242.45元，主要用于</w:t>
      </w:r>
      <w:r>
        <w:rPr>
          <w:rFonts w:hint="eastAsia" w:ascii="仿宋_GB2312" w:hAnsi="宋体" w:eastAsia="仿宋_GB2312"/>
          <w:kern w:val="0"/>
          <w:sz w:val="32"/>
          <w:szCs w:val="32"/>
        </w:rPr>
        <w:t>车辆燃油费、维修费、过路过桥费等</w:t>
      </w:r>
      <w:r>
        <w:rPr>
          <w:rFonts w:hint="eastAsia" w:ascii="仿宋_GB2312" w:hAnsi="仿宋_GB2312" w:eastAsia="仿宋_GB2312" w:cs="仿宋_GB2312"/>
          <w:kern w:val="0"/>
          <w:sz w:val="32"/>
          <w:szCs w:val="32"/>
        </w:rPr>
        <w:t>。2019年度一般公共预算财政拨款开支的公务用车购置数</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预算为300,000.00元，</w:t>
      </w:r>
      <w:r>
        <w:rPr>
          <w:rFonts w:hint="eastAsia" w:ascii="仿宋_GB2312" w:hAnsi="仿宋_GB2312" w:eastAsia="仿宋_GB2312" w:cs="仿宋_GB2312"/>
          <w:kern w:val="0"/>
          <w:sz w:val="32"/>
          <w:szCs w:val="32"/>
        </w:rPr>
        <w:t>支出决算为191,839.00元，完成预算的</w:t>
      </w:r>
      <w:r>
        <w:rPr>
          <w:rFonts w:hint="eastAsia" w:ascii="仿宋_GB2312" w:hAnsi="仿宋_GB2312" w:eastAsia="仿宋_GB2312" w:cs="仿宋_GB2312"/>
          <w:kern w:val="0"/>
          <w:sz w:val="32"/>
          <w:szCs w:val="32"/>
          <w:lang w:val="en-US" w:eastAsia="zh-CN"/>
        </w:rPr>
        <w:t>63.95</w:t>
      </w:r>
      <w:r>
        <w:rPr>
          <w:rFonts w:hint="eastAsia" w:ascii="仿宋_GB2312" w:hAnsi="仿宋_GB2312" w:eastAsia="仿宋_GB2312" w:cs="仿宋_GB2312"/>
          <w:kern w:val="0"/>
          <w:sz w:val="32"/>
          <w:szCs w:val="32"/>
        </w:rPr>
        <w:t>%。其中： 国内接待费支出191,839.00元，主要用于</w:t>
      </w:r>
      <w:r>
        <w:rPr>
          <w:rFonts w:hint="eastAsia" w:ascii="仿宋_GB2312" w:hAnsi="宋体" w:eastAsia="仿宋_GB2312"/>
          <w:kern w:val="0"/>
          <w:sz w:val="32"/>
          <w:szCs w:val="32"/>
        </w:rPr>
        <w:t>招商接待</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元。2019年度国内公务接待批次300个，国内公务接待人次2,100人，国（境）外公务接待批次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9年度政府性基金预算财政拨款本年收入163,333,574.13元，本年支出162,219,733.53元，年末结转和结余1,585,540.60元。较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w:t>
      </w:r>
      <w:r>
        <w:rPr>
          <w:rFonts w:hint="eastAsia" w:ascii="仿宋_GB2312" w:hAnsi="宋体" w:eastAsia="仿宋_GB2312" w:cs="Times New Roman"/>
          <w:color w:val="auto"/>
          <w:sz w:val="32"/>
          <w:szCs w:val="32"/>
          <w:lang w:eastAsia="zh-CN"/>
        </w:rPr>
        <w:t>收入</w:t>
      </w:r>
      <w:r>
        <w:rPr>
          <w:rFonts w:hint="eastAsia" w:ascii="仿宋_GB2312" w:hAnsi="宋体" w:eastAsia="仿宋_GB2312" w:cs="Times New Roman"/>
          <w:color w:val="auto"/>
          <w:sz w:val="32"/>
          <w:szCs w:val="32"/>
        </w:rPr>
        <w:t>数减少</w:t>
      </w:r>
      <w:r>
        <w:rPr>
          <w:rFonts w:hint="eastAsia" w:ascii="仿宋_GB2312" w:hAnsi="宋体" w:eastAsia="仿宋_GB2312" w:cs="Times New Roman"/>
          <w:color w:val="auto"/>
          <w:sz w:val="32"/>
          <w:szCs w:val="32"/>
          <w:lang w:val="en-US" w:eastAsia="zh-CN"/>
        </w:rPr>
        <w:t>40,171,162.29</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19.74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w:t>
      </w:r>
      <w:r>
        <w:rPr>
          <w:rFonts w:hint="eastAsia" w:ascii="仿宋_GB2312" w:hAnsi="宋体" w:eastAsia="仿宋_GB2312" w:cs="Times New Roman"/>
          <w:color w:val="auto"/>
          <w:sz w:val="32"/>
          <w:szCs w:val="32"/>
          <w:lang w:eastAsia="zh-CN"/>
        </w:rPr>
        <w:t>支出</w:t>
      </w:r>
      <w:r>
        <w:rPr>
          <w:rFonts w:hint="eastAsia" w:ascii="仿宋_GB2312" w:hAnsi="宋体" w:eastAsia="仿宋_GB2312" w:cs="Times New Roman"/>
          <w:color w:val="auto"/>
          <w:sz w:val="32"/>
          <w:szCs w:val="32"/>
        </w:rPr>
        <w:t>数减少</w:t>
      </w:r>
      <w:r>
        <w:rPr>
          <w:rFonts w:hint="eastAsia" w:ascii="仿宋_GB2312" w:hAnsi="宋体" w:eastAsia="仿宋_GB2312" w:cs="Times New Roman"/>
          <w:color w:val="auto"/>
          <w:sz w:val="32"/>
          <w:szCs w:val="32"/>
          <w:lang w:val="en-US" w:eastAsia="zh-CN"/>
        </w:rPr>
        <w:t>43,996,070.18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21.33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压减经费支出</w:t>
      </w:r>
      <w:r>
        <w:rPr>
          <w:rFonts w:hint="eastAsia" w:ascii="仿宋_GB2312" w:hAnsi="宋体" w:eastAsia="仿宋_GB2312" w:cs="Times New Roman"/>
          <w:color w:val="auto"/>
          <w:sz w:val="32"/>
          <w:szCs w:val="32"/>
        </w:rPr>
        <w:t>。支出具体情况如下：（按支出功能分类科目说明）</w:t>
      </w:r>
      <w:r>
        <w:rPr>
          <w:rFonts w:hint="eastAsia" w:ascii="仿宋_GB2312" w:hAnsi="宋体" w:eastAsia="仿宋_GB2312" w:cs="Times New Roman"/>
          <w:color w:val="auto"/>
          <w:sz w:val="32"/>
          <w:szCs w:val="32"/>
          <w:lang w:eastAsia="zh-CN"/>
        </w:rPr>
        <w:t>城乡社区支出160,299,733.53元，其他支出1,920,000.00元</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2019年度本部门机关运行经费支出6,996,022.81元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比2018年度减少</w:t>
      </w:r>
      <w:r>
        <w:rPr>
          <w:rFonts w:hint="eastAsia" w:ascii="仿宋_GB2312" w:hAnsi="仿宋_GB2312" w:eastAsia="仿宋_GB2312" w:cs="仿宋_GB2312"/>
          <w:kern w:val="0"/>
          <w:sz w:val="32"/>
          <w:szCs w:val="32"/>
          <w:lang w:val="en-US" w:eastAsia="zh-CN"/>
        </w:rPr>
        <w:t>6,471,224.69</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48.05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单位树立过紧日子的思想，压减经费支出，建设节约型政府。</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2019年度本部门政府采购支出总额3,809,371.38元。其中：政府采购货物支出1,989,841.00元、政府采购工程支出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元、政府采购服务1,819,530.38元。授予中小企业合同金额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截至2019年12月31日，本部门房屋面积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w:t>
      </w:r>
      <w:r>
        <w:rPr>
          <w:rFonts w:hint="eastAsia" w:ascii="仿宋_GB2312" w:hAnsi="仿宋_GB2312" w:eastAsia="仿宋_GB2312" w:cs="仿宋_GB2312"/>
          <w:kern w:val="0"/>
          <w:sz w:val="32"/>
          <w:szCs w:val="32"/>
          <w:lang w:eastAsia="zh-CN"/>
        </w:rPr>
        <w:t>宁东管委会财政审计局</w:t>
      </w:r>
      <w:r>
        <w:rPr>
          <w:rFonts w:hint="eastAsia" w:ascii="仿宋_GB2312" w:hAnsi="仿宋_GB2312" w:eastAsia="仿宋_GB2312" w:cs="仿宋_GB2312"/>
          <w:kern w:val="0"/>
          <w:sz w:val="32"/>
          <w:szCs w:val="32"/>
        </w:rPr>
        <w:t>组织对2019年度一般公共预算项目支出全面开展绩效自评。其中，一级项目</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34,019.04</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宁东管委会</w:t>
      </w:r>
      <w:r>
        <w:rPr>
          <w:rFonts w:hint="eastAsia" w:ascii="仿宋_GB2312" w:hAnsi="仿宋_GB2312" w:eastAsia="仿宋_GB2312" w:cs="仿宋_GB2312"/>
          <w:kern w:val="0"/>
          <w:sz w:val="32"/>
          <w:szCs w:val="32"/>
        </w:rPr>
        <w:t>今年在部门决算中</w:t>
      </w:r>
      <w:r>
        <w:rPr>
          <w:rFonts w:hint="eastAsia" w:ascii="仿宋_GB2312" w:hAnsi="仿宋_GB2312" w:eastAsia="仿宋_GB2312" w:cs="仿宋_GB2312"/>
          <w:kern w:val="0"/>
          <w:sz w:val="32"/>
          <w:szCs w:val="32"/>
          <w:lang w:eastAsia="zh-CN"/>
        </w:rPr>
        <w:t>未</w:t>
      </w:r>
      <w:r>
        <w:rPr>
          <w:rFonts w:hint="eastAsia" w:ascii="仿宋_GB2312" w:hAnsi="仿宋_GB2312" w:eastAsia="仿宋_GB2312" w:cs="仿宋_GB2312"/>
          <w:kern w:val="0"/>
          <w:sz w:val="32"/>
          <w:szCs w:val="32"/>
        </w:rPr>
        <w:t>增加项目绩效评价结果。根据年初设定的绩效目标，项目自评得分为</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。发现的主要问题：</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0" w:firstLineChars="200"/>
        <w:outlineLvl w:val="1"/>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无。</w:t>
      </w:r>
    </w:p>
    <w:p>
      <w:pPr>
        <w:numPr>
          <w:ilvl w:val="0"/>
          <w:numId w:val="1"/>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宁东管委会财政局委托中介机构运用评价组研发并通过专家组论证的评价指标及评分标准，通过基础数据填报、问卷调查和访谈获取的数据信息，评价组对以下六个项目进行了独立客观的评价，结果如下：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（1）2018-2019年宁东镇困难残疾人生活补贴和重度残疾人护理补贴项目自评得分90分，绩效评价结果为“优”</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2018-2019年宁东基地煤厂集中区（一期）七通一平配套基础设施项目自评得分88分，绩效评价结果为“良”。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（3）2018-2019年宁东镇临时救助补贴项目自评得分89分，绩效评价结果为“良”。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（4）2018-2019年宁东镇城乡居民最低生活保障项目自评得分92分，绩效评价结果为“优”。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（5）2018-2019年宁东镇高龄老人津贴发放项目自评得分93分，绩效评价结果为“优”。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（6）2017-2019年宁东完全制学校项目自评得分94分，绩效评价结果为“优”。</w:t>
      </w:r>
    </w:p>
    <w:p>
      <w:pPr>
        <w:spacing w:before="156" w:beforeLines="50" w:line="400" w:lineRule="exact"/>
        <w:ind w:firstLine="176" w:firstLineChars="49"/>
        <w:jc w:val="center"/>
        <w:outlineLvl w:val="1"/>
        <w:rPr>
          <w:rFonts w:ascii="黑体" w:hAnsi="黑体" w:eastAsia="黑体" w:cs="黑体"/>
          <w:kern w:val="0"/>
          <w:sz w:val="36"/>
          <w:szCs w:val="36"/>
        </w:rPr>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ind w:firstLine="640" w:firstLineChars="200"/>
        <w:rPr>
          <w:rFonts w:hint="eastAsia" w:ascii="仿宋_GB2312" w:hAnsi="仿宋_GB2312" w:eastAsia="仿宋_GB2312"/>
          <w:sz w:val="32"/>
        </w:rPr>
      </w:pPr>
      <w:r>
        <w:rPr>
          <w:rFonts w:hint="eastAsia" w:ascii="黑体" w:hAnsi="黑体" w:eastAsia="黑体"/>
          <w:sz w:val="32"/>
        </w:rPr>
        <w:t>一、财政拨款收入</w:t>
      </w:r>
      <w:r>
        <w:rPr>
          <w:rFonts w:hint="eastAsia" w:ascii="仿宋_GB2312" w:hAnsi="仿宋_GB2312" w:eastAsia="仿宋_GB2312"/>
          <w:sz w:val="32"/>
        </w:rPr>
        <w:t>：指中央财政当年拨付的资金。</w:t>
      </w:r>
    </w:p>
    <w:p>
      <w:pPr>
        <w:ind w:firstLine="640" w:firstLineChars="200"/>
        <w:rPr>
          <w:rFonts w:hint="eastAsia" w:ascii="仿宋_GB2312" w:hAnsi="仿宋_GB2312" w:eastAsia="仿宋_GB2312"/>
          <w:sz w:val="32"/>
        </w:rPr>
      </w:pPr>
      <w:r>
        <w:rPr>
          <w:rFonts w:hint="eastAsia" w:ascii="黑体" w:hAnsi="黑体" w:eastAsia="黑体"/>
          <w:sz w:val="32"/>
        </w:rPr>
        <w:t>二、其他收入</w:t>
      </w:r>
      <w:r>
        <w:rPr>
          <w:rFonts w:hint="eastAsia" w:ascii="仿宋_GB2312" w:hAnsi="仿宋_GB2312" w:eastAsia="仿宋_GB2312"/>
          <w:sz w:val="32"/>
        </w:rPr>
        <w:t>：指除上述“财政拨款收入”、“事业收入”、“经营收入”等以外的收入。主要是按规定动用的售房收入、存款利息收入等。</w:t>
      </w:r>
    </w:p>
    <w:p>
      <w:pPr>
        <w:ind w:firstLine="640" w:firstLineChars="200"/>
        <w:rPr>
          <w:rFonts w:hint="eastAsia" w:ascii="仿宋_GB2312" w:hAnsi="仿宋_GB2312" w:eastAsia="仿宋_GB2312"/>
          <w:sz w:val="32"/>
        </w:rPr>
      </w:pPr>
      <w:r>
        <w:rPr>
          <w:rFonts w:hint="eastAsia" w:ascii="黑体" w:hAnsi="黑体" w:eastAsia="黑体"/>
          <w:sz w:val="32"/>
        </w:rPr>
        <w:t>三、年初结转和结余</w:t>
      </w:r>
      <w:r>
        <w:rPr>
          <w:rFonts w:hint="eastAsia" w:ascii="仿宋_GB2312" w:hAnsi="仿宋_GB2312" w:eastAsia="仿宋_GB2312"/>
          <w:sz w:val="32"/>
        </w:rPr>
        <w:t>：指以前年度尚未完成、结转到本年按有关规定继续使用的资金。</w:t>
      </w:r>
    </w:p>
    <w:p>
      <w:pPr>
        <w:ind w:firstLine="640" w:firstLineChars="200"/>
        <w:rPr>
          <w:rFonts w:hint="eastAsia" w:ascii="仿宋_GB2312" w:hAnsi="仿宋_GB2312" w:eastAsia="仿宋_GB2312"/>
          <w:sz w:val="32"/>
        </w:rPr>
      </w:pPr>
      <w:r>
        <w:rPr>
          <w:rFonts w:hint="eastAsia" w:ascii="黑体" w:hAnsi="黑体" w:eastAsia="黑体"/>
          <w:sz w:val="32"/>
        </w:rPr>
        <w:t>四、基本支出</w:t>
      </w:r>
      <w:r>
        <w:rPr>
          <w:rFonts w:hint="eastAsia" w:ascii="仿宋_GB2312" w:hAnsi="仿宋_GB2312" w:eastAsia="仿宋_GB2312"/>
          <w:sz w:val="32"/>
        </w:rPr>
        <w:t>：指为保障机构正常运转、完成日常工作任务而发生的人员支出和公用支出。</w:t>
      </w:r>
    </w:p>
    <w:p>
      <w:pPr>
        <w:ind w:firstLine="640" w:firstLineChars="200"/>
        <w:rPr>
          <w:rFonts w:hint="eastAsia" w:ascii="仿宋_GB2312" w:hAnsi="仿宋_GB2312" w:eastAsia="仿宋_GB2312"/>
          <w:sz w:val="32"/>
        </w:rPr>
      </w:pPr>
      <w:r>
        <w:rPr>
          <w:rFonts w:hint="eastAsia" w:ascii="黑体" w:hAnsi="黑体" w:eastAsia="黑体"/>
          <w:sz w:val="32"/>
        </w:rPr>
        <w:t>五、项目支出</w:t>
      </w:r>
      <w:r>
        <w:rPr>
          <w:rFonts w:hint="eastAsia" w:ascii="仿宋_GB2312" w:hAnsi="仿宋_GB2312" w:eastAsia="仿宋_GB2312"/>
          <w:sz w:val="32"/>
        </w:rPr>
        <w:t>：指在基本支出之外为完成特定行政任务和事业发展目标所发生的支出。</w:t>
      </w:r>
    </w:p>
    <w:p>
      <w:pPr>
        <w:ind w:firstLine="640" w:firstLineChars="200"/>
        <w:rPr>
          <w:rFonts w:hint="eastAsia" w:ascii="仿宋_GB2312" w:hAnsi="仿宋_GB2312" w:eastAsia="仿宋_GB2312"/>
          <w:sz w:val="32"/>
        </w:rPr>
      </w:pPr>
      <w:r>
        <w:rPr>
          <w:rFonts w:hint="eastAsia" w:ascii="黑体" w:hAnsi="黑体" w:eastAsia="黑体"/>
          <w:sz w:val="32"/>
        </w:rPr>
        <w:t>六、经营支出</w:t>
      </w:r>
      <w:r>
        <w:rPr>
          <w:rFonts w:hint="eastAsia" w:ascii="仿宋_GB2312" w:hAnsi="仿宋_GB2312" w:eastAsia="仿宋_GB2312"/>
          <w:sz w:val="32"/>
        </w:rPr>
        <w:t>：指事业单位在专业业务活动及其辅助活动之外开展非独立核算经营活动发生的支出。</w:t>
      </w:r>
    </w:p>
    <w:p>
      <w:pPr>
        <w:ind w:firstLine="640" w:firstLineChars="200"/>
        <w:rPr>
          <w:rFonts w:hint="eastAsia" w:ascii="仿宋_GB2312" w:hAnsi="仿宋_GB2312" w:eastAsia="仿宋_GB2312"/>
          <w:sz w:val="32"/>
        </w:rPr>
      </w:pPr>
      <w:r>
        <w:rPr>
          <w:rFonts w:hint="eastAsia" w:ascii="黑体" w:hAnsi="黑体" w:eastAsia="黑体"/>
          <w:sz w:val="32"/>
        </w:rPr>
        <w:t>七、“三公”经费</w:t>
      </w:r>
      <w:r>
        <w:rPr>
          <w:rFonts w:hint="eastAsia" w:ascii="仿宋_GB2312" w:hAnsi="仿宋_GB2312" w:eastAsia="仿宋_GB2312"/>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400" w:lineRule="exact"/>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附件：宁东管委会（本级）</w:t>
      </w:r>
      <w:r>
        <w:rPr>
          <w:rFonts w:hint="eastAsia" w:ascii="仿宋_GB2312" w:hAnsi="仿宋_GB2312" w:eastAsia="仿宋_GB2312" w:cs="仿宋_GB2312"/>
          <w:kern w:val="0"/>
          <w:sz w:val="32"/>
          <w:szCs w:val="32"/>
          <w:lang w:val="en-US" w:eastAsia="zh-CN"/>
        </w:rPr>
        <w:t>2019年度部门决算公开表</w:t>
      </w:r>
      <w:r>
        <w:rPr>
          <w:rFonts w:hint="eastAsia" w:ascii="仿宋_GB2312" w:hAnsi="仿宋_GB2312" w:eastAsia="仿宋_GB2312" w:cs="仿宋_GB2312"/>
          <w:kern w:val="0"/>
          <w:sz w:val="32"/>
          <w:szCs w:val="32"/>
          <w:lang w:eastAsia="zh-CN"/>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B0FC61"/>
    <w:multiLevelType w:val="singleLevel"/>
    <w:tmpl w:val="F2B0FC61"/>
    <w:lvl w:ilvl="0" w:tentative="0">
      <w:start w:val="4"/>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A0NWMzYTA1ZDhjYTg2ZmYyZGM4NDVkYzYyNmUifQ=="/>
  </w:docVars>
  <w:rsids>
    <w:rsidRoot w:val="7C17574C"/>
    <w:rsid w:val="00841A40"/>
    <w:rsid w:val="00DA2B26"/>
    <w:rsid w:val="00ED1CC2"/>
    <w:rsid w:val="01311D4C"/>
    <w:rsid w:val="03796100"/>
    <w:rsid w:val="04F236DC"/>
    <w:rsid w:val="05DF577F"/>
    <w:rsid w:val="066E5855"/>
    <w:rsid w:val="0B5D3616"/>
    <w:rsid w:val="0BAD4E0B"/>
    <w:rsid w:val="0BFB5DB4"/>
    <w:rsid w:val="0CF35131"/>
    <w:rsid w:val="0DB73122"/>
    <w:rsid w:val="0EE3245F"/>
    <w:rsid w:val="0EEB340B"/>
    <w:rsid w:val="0F1826CE"/>
    <w:rsid w:val="0F2842C3"/>
    <w:rsid w:val="0F551270"/>
    <w:rsid w:val="0F680B9E"/>
    <w:rsid w:val="10AE2D8F"/>
    <w:rsid w:val="11C56ECA"/>
    <w:rsid w:val="124A3AC0"/>
    <w:rsid w:val="12AD498C"/>
    <w:rsid w:val="1312141A"/>
    <w:rsid w:val="131727D7"/>
    <w:rsid w:val="13D906ED"/>
    <w:rsid w:val="141D4409"/>
    <w:rsid w:val="15821839"/>
    <w:rsid w:val="16081A16"/>
    <w:rsid w:val="16702450"/>
    <w:rsid w:val="16A21DC0"/>
    <w:rsid w:val="16B12EA6"/>
    <w:rsid w:val="17A66A20"/>
    <w:rsid w:val="1AA71346"/>
    <w:rsid w:val="1BA10CAC"/>
    <w:rsid w:val="1BD45095"/>
    <w:rsid w:val="1C243C38"/>
    <w:rsid w:val="1CA46ADB"/>
    <w:rsid w:val="1D30071A"/>
    <w:rsid w:val="1D8A3493"/>
    <w:rsid w:val="1E022491"/>
    <w:rsid w:val="1E2B1064"/>
    <w:rsid w:val="1E3F16E7"/>
    <w:rsid w:val="1F695C0C"/>
    <w:rsid w:val="1FEF142D"/>
    <w:rsid w:val="212A3855"/>
    <w:rsid w:val="22F30789"/>
    <w:rsid w:val="238C6090"/>
    <w:rsid w:val="23FB3919"/>
    <w:rsid w:val="240212F4"/>
    <w:rsid w:val="24737B02"/>
    <w:rsid w:val="248F1C19"/>
    <w:rsid w:val="258A2D5A"/>
    <w:rsid w:val="25D80939"/>
    <w:rsid w:val="273D0A35"/>
    <w:rsid w:val="27817BF7"/>
    <w:rsid w:val="27C212FD"/>
    <w:rsid w:val="2AB10E47"/>
    <w:rsid w:val="2B3C72FC"/>
    <w:rsid w:val="2D504F40"/>
    <w:rsid w:val="2DC326E2"/>
    <w:rsid w:val="2ECD391C"/>
    <w:rsid w:val="2EF43CB3"/>
    <w:rsid w:val="30AD54C6"/>
    <w:rsid w:val="30B74AFA"/>
    <w:rsid w:val="31AE25F9"/>
    <w:rsid w:val="32482846"/>
    <w:rsid w:val="32AB706D"/>
    <w:rsid w:val="33B91979"/>
    <w:rsid w:val="342D0C0F"/>
    <w:rsid w:val="365F64D6"/>
    <w:rsid w:val="36CB1C3E"/>
    <w:rsid w:val="3819313A"/>
    <w:rsid w:val="39261336"/>
    <w:rsid w:val="395778BD"/>
    <w:rsid w:val="39F21727"/>
    <w:rsid w:val="3ADC2F1A"/>
    <w:rsid w:val="3AE84D6E"/>
    <w:rsid w:val="3D313CF8"/>
    <w:rsid w:val="3D4132F3"/>
    <w:rsid w:val="3D6D460C"/>
    <w:rsid w:val="3E2C6F3C"/>
    <w:rsid w:val="3EA104A5"/>
    <w:rsid w:val="3FAC0518"/>
    <w:rsid w:val="3FBC3AF2"/>
    <w:rsid w:val="4039134A"/>
    <w:rsid w:val="42C903EE"/>
    <w:rsid w:val="42E93E33"/>
    <w:rsid w:val="42F01D3B"/>
    <w:rsid w:val="43183314"/>
    <w:rsid w:val="43C60FD4"/>
    <w:rsid w:val="452D4B0C"/>
    <w:rsid w:val="457446C7"/>
    <w:rsid w:val="47721B1B"/>
    <w:rsid w:val="47891A50"/>
    <w:rsid w:val="49FA570F"/>
    <w:rsid w:val="4AD401DE"/>
    <w:rsid w:val="4BA20B39"/>
    <w:rsid w:val="4BCD5928"/>
    <w:rsid w:val="4DB374A9"/>
    <w:rsid w:val="4EFE2BAF"/>
    <w:rsid w:val="50783B5E"/>
    <w:rsid w:val="50996960"/>
    <w:rsid w:val="513856C4"/>
    <w:rsid w:val="51B142EB"/>
    <w:rsid w:val="52101F5F"/>
    <w:rsid w:val="52B50DA9"/>
    <w:rsid w:val="533232BB"/>
    <w:rsid w:val="542F26AE"/>
    <w:rsid w:val="550633BC"/>
    <w:rsid w:val="566564DE"/>
    <w:rsid w:val="57564D81"/>
    <w:rsid w:val="5786595D"/>
    <w:rsid w:val="57AE101D"/>
    <w:rsid w:val="591741E9"/>
    <w:rsid w:val="59562685"/>
    <w:rsid w:val="59582569"/>
    <w:rsid w:val="598D0FBE"/>
    <w:rsid w:val="59FF66FC"/>
    <w:rsid w:val="5B7003CF"/>
    <w:rsid w:val="5B824738"/>
    <w:rsid w:val="5B983284"/>
    <w:rsid w:val="5C820A1F"/>
    <w:rsid w:val="5CA60F2C"/>
    <w:rsid w:val="5EF7291B"/>
    <w:rsid w:val="5FA35701"/>
    <w:rsid w:val="5FD153D8"/>
    <w:rsid w:val="5FD97A92"/>
    <w:rsid w:val="600B574D"/>
    <w:rsid w:val="605268E1"/>
    <w:rsid w:val="60A50F14"/>
    <w:rsid w:val="60B55A87"/>
    <w:rsid w:val="60FC7E85"/>
    <w:rsid w:val="624E1084"/>
    <w:rsid w:val="63EC5D36"/>
    <w:rsid w:val="6406275C"/>
    <w:rsid w:val="64133513"/>
    <w:rsid w:val="64582B8D"/>
    <w:rsid w:val="64E27DEC"/>
    <w:rsid w:val="64EA5057"/>
    <w:rsid w:val="653D5D91"/>
    <w:rsid w:val="654B2B60"/>
    <w:rsid w:val="675306FF"/>
    <w:rsid w:val="675C69D4"/>
    <w:rsid w:val="6787716C"/>
    <w:rsid w:val="68E93FE9"/>
    <w:rsid w:val="693649C7"/>
    <w:rsid w:val="696A2540"/>
    <w:rsid w:val="69FC01AD"/>
    <w:rsid w:val="6A3A734F"/>
    <w:rsid w:val="6B7B403B"/>
    <w:rsid w:val="6BB37864"/>
    <w:rsid w:val="6C444CE4"/>
    <w:rsid w:val="6C4B617E"/>
    <w:rsid w:val="6C500F4A"/>
    <w:rsid w:val="6C660718"/>
    <w:rsid w:val="6CE66520"/>
    <w:rsid w:val="6D5C2555"/>
    <w:rsid w:val="6DE17FF1"/>
    <w:rsid w:val="6EE5113C"/>
    <w:rsid w:val="6F67070E"/>
    <w:rsid w:val="714418A8"/>
    <w:rsid w:val="71471159"/>
    <w:rsid w:val="71790296"/>
    <w:rsid w:val="72870861"/>
    <w:rsid w:val="7480674A"/>
    <w:rsid w:val="753B6FB9"/>
    <w:rsid w:val="75DD2C1D"/>
    <w:rsid w:val="760A7F88"/>
    <w:rsid w:val="77822535"/>
    <w:rsid w:val="781D154C"/>
    <w:rsid w:val="7AC80E35"/>
    <w:rsid w:val="7AE73E2D"/>
    <w:rsid w:val="7B803020"/>
    <w:rsid w:val="7C17574C"/>
    <w:rsid w:val="7E3E7855"/>
    <w:rsid w:val="7E71163D"/>
    <w:rsid w:val="7EA74278"/>
    <w:rsid w:val="7EAC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8">
    <w:name w:val="font01"/>
    <w:basedOn w:val="5"/>
    <w:qFormat/>
    <w:uiPriority w:val="0"/>
    <w:rPr>
      <w:rFonts w:hint="default" w:ascii="Arial" w:hAnsi="Arial" w:cs="Arial"/>
      <w:color w:val="000000"/>
      <w:sz w:val="22"/>
      <w:szCs w:val="22"/>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default" w:ascii="Arial" w:hAnsi="Arial" w:cs="Arial"/>
      <w:color w:val="000000"/>
      <w:sz w:val="24"/>
      <w:szCs w:val="24"/>
      <w:u w:val="none"/>
    </w:rPr>
  </w:style>
  <w:style w:type="character" w:customStyle="1" w:styleId="11">
    <w:name w:val="font51"/>
    <w:basedOn w:val="5"/>
    <w:qFormat/>
    <w:uiPriority w:val="0"/>
    <w:rPr>
      <w:rFonts w:hint="eastAsia" w:ascii="宋体" w:hAnsi="宋体" w:eastAsia="宋体" w:cs="宋体"/>
      <w:color w:val="000000"/>
      <w:sz w:val="24"/>
      <w:szCs w:val="24"/>
      <w:u w:val="none"/>
    </w:rPr>
  </w:style>
  <w:style w:type="character" w:customStyle="1" w:styleId="12">
    <w:name w:val="font31"/>
    <w:basedOn w:val="5"/>
    <w:qFormat/>
    <w:uiPriority w:val="0"/>
    <w:rPr>
      <w:rFonts w:hint="eastAsia" w:ascii="宋体" w:hAnsi="宋体" w:eastAsia="宋体" w:cs="宋体"/>
      <w:color w:val="000000"/>
      <w:sz w:val="22"/>
      <w:szCs w:val="22"/>
      <w:u w:val="none"/>
    </w:rPr>
  </w:style>
  <w:style w:type="character" w:customStyle="1" w:styleId="13">
    <w:name w:val="font41"/>
    <w:basedOn w:val="5"/>
    <w:qFormat/>
    <w:uiPriority w:val="0"/>
    <w:rPr>
      <w:rFonts w:hint="eastAsia" w:ascii="宋体" w:hAnsi="宋体" w:eastAsia="宋体" w:cs="宋体"/>
      <w:color w:val="000000"/>
      <w:sz w:val="22"/>
      <w:szCs w:val="22"/>
      <w:u w:val="none"/>
    </w:rPr>
  </w:style>
  <w:style w:type="character" w:customStyle="1" w:styleId="14">
    <w:name w:val="font6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40</Pages>
  <Words>13287</Words>
  <Characters>31672</Characters>
  <Lines>66</Lines>
  <Paragraphs>18</Paragraphs>
  <TotalTime>0</TotalTime>
  <ScaleCrop>false</ScaleCrop>
  <LinksUpToDate>false</LinksUpToDate>
  <CharactersWithSpaces>32332</CharactersWithSpaces>
  <Application>WPS Office_11.1.0.13703_F1E327BC-269C-435d-A152-05C5408002CA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郭峻铭</cp:lastModifiedBy>
  <cp:lastPrinted>2020-10-26T07:41:00Z</cp:lastPrinted>
  <dcterms:modified xsi:type="dcterms:W3CDTF">2023-02-15T07:47:44Z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2FC2A3B2795C4CA9B6BADDBAA44FAFF3</vt:lpwstr>
  </property>
</Properties>
</file>