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40FF"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tbl>
      <w:tblPr>
        <w:tblStyle w:val="4"/>
        <w:tblW w:w="14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130"/>
        <w:gridCol w:w="1130"/>
        <w:gridCol w:w="1292"/>
        <w:gridCol w:w="1588"/>
        <w:gridCol w:w="1322"/>
        <w:gridCol w:w="1130"/>
        <w:gridCol w:w="1130"/>
        <w:gridCol w:w="1107"/>
        <w:gridCol w:w="983"/>
        <w:gridCol w:w="1056"/>
      </w:tblGrid>
      <w:tr w14:paraId="74AF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2907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宁东管委会本级部门项目支出预算绩效目标自评表</w:t>
            </w:r>
          </w:p>
        </w:tc>
      </w:tr>
      <w:tr w14:paraId="7B89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 w14:paraId="3D90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C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单位：（公章）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9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58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8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6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C9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2F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C9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F6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D0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C7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A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EE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项目名称</w:t>
            </w:r>
          </w:p>
        </w:tc>
        <w:tc>
          <w:tcPr>
            <w:tcW w:w="95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公立医院取消药品加成财政定向补助</w:t>
            </w:r>
          </w:p>
        </w:tc>
      </w:tr>
      <w:tr w14:paraId="2A42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8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A2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主管部门</w:t>
            </w:r>
          </w:p>
        </w:tc>
        <w:tc>
          <w:tcPr>
            <w:tcW w:w="28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宁东管委会社会事务局</w:t>
            </w:r>
          </w:p>
        </w:tc>
        <w:tc>
          <w:tcPr>
            <w:tcW w:w="24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C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实施单位</w:t>
            </w:r>
          </w:p>
        </w:tc>
        <w:tc>
          <w:tcPr>
            <w:tcW w:w="42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宁夏回族自治区宁东医院</w:t>
            </w:r>
          </w:p>
        </w:tc>
      </w:tr>
      <w:tr w14:paraId="7C9B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2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31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项目资金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07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年初预算数（A）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2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全年执行数（B）</w:t>
            </w:r>
          </w:p>
        </w:tc>
        <w:tc>
          <w:tcPr>
            <w:tcW w:w="1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4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分值(10)</w:t>
            </w:r>
          </w:p>
        </w:tc>
        <w:tc>
          <w:tcPr>
            <w:tcW w:w="20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9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执行率（B/A）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5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</w:tr>
      <w:tr w14:paraId="673F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2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B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（万元）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7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年度资金总额：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2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8C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29.95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870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84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4B3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3F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3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其中：财政拨款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3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BF3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29.95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5BA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BB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B56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89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6E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其他资金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E7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D3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3E3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0DC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B143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0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C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年度总体</w:t>
            </w:r>
          </w:p>
        </w:tc>
        <w:tc>
          <w:tcPr>
            <w:tcW w:w="5141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8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宁夏回族自治区综合医改试点工作意见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补偿医疗机构损失，突显公立医院的公益性。解决老百姓“看病难、看病贵”的问题。</w:t>
            </w:r>
          </w:p>
        </w:tc>
        <w:tc>
          <w:tcPr>
            <w:tcW w:w="6699" w:type="dxa"/>
            <w:gridSpan w:val="6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2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全面实行药品零差率销售，医院因此减少的收入30%通过财政定向补助</w:t>
            </w:r>
          </w:p>
        </w:tc>
      </w:tr>
      <w:tr w14:paraId="549D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C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目标</w:t>
            </w:r>
          </w:p>
        </w:tc>
        <w:tc>
          <w:tcPr>
            <w:tcW w:w="5141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E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9" w:type="dxa"/>
            <w:gridSpan w:val="6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7B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5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B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CA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一级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A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B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三级指标</w:t>
            </w:r>
          </w:p>
        </w:tc>
        <w:tc>
          <w:tcPr>
            <w:tcW w:w="15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4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年度指标值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实际完成值（B）</w:t>
            </w:r>
          </w:p>
        </w:tc>
        <w:tc>
          <w:tcPr>
            <w:tcW w:w="225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E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  <w:tc>
          <w:tcPr>
            <w:tcW w:w="202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6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偏差原因分析及改进措施</w:t>
            </w:r>
          </w:p>
        </w:tc>
      </w:tr>
      <w:tr w14:paraId="706B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C4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度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E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37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E9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0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B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C1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E7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4A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C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7E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绩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64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产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2D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数量指标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医疗服务收入占比（不含药品、耗材、检查、化验收入)占医疗收入的比例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BE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36%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9C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36.2%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7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B4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C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8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C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98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出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4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76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D6F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EB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F5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8C1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DF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3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CA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7D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F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F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药占比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D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default" w:ascii="Arial" w:hAnsi="Arial" w:cs="Arial"/>
                <w:lang w:val="en-US" w:eastAsia="zh-CN" w:bidi="ar"/>
              </w:rPr>
              <w:t>≤</w:t>
            </w:r>
            <w:r>
              <w:rPr>
                <w:rStyle w:val="8"/>
                <w:rFonts w:hint="eastAsia"/>
                <w:lang w:val="en-US" w:eastAsia="zh-CN" w:bidi="ar"/>
              </w:rPr>
              <w:t>30%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C5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20%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7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B0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7A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0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AF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2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CF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C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医疗收入增幅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B0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低于上年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7C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低于上年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E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7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85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C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27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32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项目结束时间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3B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年12月31日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E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12月31日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5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DF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2A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0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E1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A4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5A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成本指标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药品采购支出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78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6F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29.95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89F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3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6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6F6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A4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7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5C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DE3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7FC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D6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9D0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6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3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6A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DDD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D3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经济效益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5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患者次均费用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9F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E1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80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1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B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AD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BEE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益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7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DD2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4C1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78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30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96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5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9F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DA2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3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社会效益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44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公立医院医疗服务能力及社会影响力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AA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07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C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6B7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7D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0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81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9783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2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3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公立医院的公益性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C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得以保障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5F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得以保障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146D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F5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D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BA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95C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（30分）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3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可持续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3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居民健康水平提高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7E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DA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提高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9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1A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FC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A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05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AA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C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影响指标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0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公立医院运行效率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6A6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EF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提高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A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098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5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2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25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A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满意度指标（10分）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67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服务对象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B4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患者满意度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4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BA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86%</w:t>
            </w:r>
          </w:p>
        </w:tc>
        <w:tc>
          <w:tcPr>
            <w:tcW w:w="22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2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43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2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F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B1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4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5D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</w:t>
            </w:r>
          </w:p>
        </w:tc>
        <w:tc>
          <w:tcPr>
            <w:tcW w:w="12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1F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71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55F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EB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9C4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2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8D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1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C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9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职工满意度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74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85.5%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55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4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6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C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总 　　　 分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2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8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7B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A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7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注：</w:t>
            </w:r>
            <w:r>
              <w:rPr>
                <w:rStyle w:val="11"/>
                <w:rFonts w:eastAsia="仿宋_GB2312"/>
                <w:lang w:val="en-US" w:eastAsia="zh-CN" w:bidi="ar"/>
              </w:rPr>
              <w:t>1.</w:t>
            </w:r>
            <w:r>
              <w:rPr>
                <w:rStyle w:val="10"/>
                <w:rFonts w:hAnsi="宋体"/>
                <w:lang w:val="en-US" w:eastAsia="zh-CN" w:bidi="ar"/>
              </w:rPr>
              <w:t>得分一档最高不能超过该指标分值上限。</w:t>
            </w:r>
          </w:p>
        </w:tc>
      </w:tr>
      <w:tr w14:paraId="1D2A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2.</w:t>
            </w:r>
            <w:r>
              <w:rPr>
                <w:rStyle w:val="10"/>
                <w:rFonts w:hAnsi="宋体"/>
                <w:lang w:val="en-US" w:eastAsia="zh-CN" w:bidi="ar"/>
              </w:rPr>
              <w:t>定性根据指标完成情况分为：达成预期指标、部分达成预期指标并具有一定效果、未达成预期指标且效果较差三档：分别按照指标值的</w:t>
            </w:r>
            <w:r>
              <w:rPr>
                <w:rStyle w:val="11"/>
                <w:rFonts w:eastAsia="仿宋_GB2312"/>
                <w:lang w:val="en-US" w:eastAsia="zh-CN" w:bidi="ar"/>
              </w:rPr>
              <w:t>100-80%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80-50%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50-0%</w:t>
            </w:r>
            <w:r>
              <w:rPr>
                <w:rStyle w:val="10"/>
                <w:rFonts w:hAnsi="宋体"/>
                <w:lang w:val="en-US" w:eastAsia="zh-CN" w:bidi="ar"/>
              </w:rPr>
              <w:t>合理确定分值。</w:t>
            </w:r>
          </w:p>
        </w:tc>
      </w:tr>
      <w:tr w14:paraId="50FC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3.</w:t>
            </w:r>
            <w:r>
              <w:rPr>
                <w:rStyle w:val="10"/>
                <w:rFonts w:hAnsi="宋体"/>
                <w:lang w:val="en-US" w:eastAsia="zh-CN" w:bidi="ar"/>
              </w:rPr>
              <w:t>定量指标若为正向指标（即指标值为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≥**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≤**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该指标分值。</w:t>
            </w:r>
          </w:p>
        </w:tc>
      </w:tr>
      <w:tr w14:paraId="2652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E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4.</w:t>
            </w:r>
            <w:r>
              <w:rPr>
                <w:rStyle w:val="10"/>
                <w:rFonts w:hAnsi="宋体"/>
                <w:lang w:val="en-US" w:eastAsia="zh-CN" w:bidi="ar"/>
              </w:rPr>
              <w:t>请在</w:t>
            </w:r>
            <w:r>
              <w:rPr>
                <w:rStyle w:val="11"/>
                <w:rFonts w:eastAsia="仿宋_GB2312"/>
                <w:lang w:val="en-US" w:eastAsia="zh-CN" w:bidi="ar"/>
              </w:rPr>
              <w:t>“</w:t>
            </w:r>
            <w:r>
              <w:rPr>
                <w:rStyle w:val="10"/>
                <w:rFonts w:hAnsi="宋体"/>
                <w:lang w:val="en-US" w:eastAsia="zh-CN" w:bidi="ar"/>
              </w:rPr>
              <w:t>未完成原因分析</w:t>
            </w:r>
            <w:r>
              <w:rPr>
                <w:rStyle w:val="11"/>
                <w:rFonts w:eastAsia="仿宋_GB2312"/>
                <w:lang w:val="en-US" w:eastAsia="zh-CN" w:bidi="ar"/>
              </w:rPr>
              <w:t>”</w:t>
            </w:r>
            <w:r>
              <w:rPr>
                <w:rStyle w:val="10"/>
                <w:rFonts w:hAnsi="宋体"/>
                <w:lang w:val="en-US" w:eastAsia="zh-CN" w:bidi="ar"/>
              </w:rPr>
              <w:t>一栏中简要说明偏离目标、不能完成目标的原因及今后改进的措施。</w:t>
            </w:r>
          </w:p>
        </w:tc>
      </w:tr>
    </w:tbl>
    <w:p w14:paraId="0AEC9B80"/>
    <w:tbl>
      <w:tblPr>
        <w:tblStyle w:val="4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50"/>
        <w:gridCol w:w="802"/>
        <w:gridCol w:w="2359"/>
        <w:gridCol w:w="911"/>
        <w:gridCol w:w="911"/>
        <w:gridCol w:w="936"/>
        <w:gridCol w:w="600"/>
        <w:gridCol w:w="743"/>
        <w:gridCol w:w="827"/>
        <w:gridCol w:w="946"/>
      </w:tblGrid>
      <w:tr w14:paraId="5A9F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4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宁东管委会本级部门项目支出预算绩效目标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 w14:paraId="1634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0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（2023年度）</w:t>
            </w:r>
          </w:p>
        </w:tc>
      </w:tr>
      <w:tr w14:paraId="5AB0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9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疫情防控工作经费</w:t>
            </w:r>
          </w:p>
        </w:tc>
      </w:tr>
      <w:tr w14:paraId="69DE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D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70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宁东管委会社会事务局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CC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宁夏回族自治区宁东医院</w:t>
            </w:r>
          </w:p>
        </w:tc>
      </w:tr>
      <w:tr w14:paraId="7A89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4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25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 w14:paraId="416B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B06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79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3334.94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3334.94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3334.94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90B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</w:tr>
      <w:tr w14:paraId="071E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A6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B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其中：当年财政拨款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3334.94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3334.94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3334.94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0CCD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2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04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0DCA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2B2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220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267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B20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70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7C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1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7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1FC6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DF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33B0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D6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宁东地区重点管控人群、全域核酸检测</w:t>
            </w:r>
          </w:p>
        </w:tc>
        <w:tc>
          <w:tcPr>
            <w:tcW w:w="40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全员核酸检测</w:t>
            </w:r>
          </w:p>
        </w:tc>
      </w:tr>
      <w:tr w14:paraId="35AA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7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9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及改进措施</w:t>
            </w:r>
          </w:p>
        </w:tc>
      </w:tr>
      <w:tr w14:paraId="6ED6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BE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8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9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核酸检测覆盖区域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5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全覆盖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B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全覆盖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C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305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FF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91C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8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3B9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2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受检人员覆盖率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4DE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E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328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CD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A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67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D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0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重点管控人群检测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3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7DA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1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CD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7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32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49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2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AD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1A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项目完成时间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2022年12月6日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8B9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2022年12月6日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8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F62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E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CB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78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00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4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疫情防控投入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3334.94万元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030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3334.94万元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1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A7B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4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4E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B8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4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0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公立医院公益性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得到保障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4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得到保障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1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821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1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F2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DD3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E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2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C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居民健康水平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5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持续提高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330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5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00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D6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6C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E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C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AFC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88%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A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BB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16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　　　 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6F01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E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E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8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578733AE"/>
    <w:p w14:paraId="6D48F4E6"/>
    <w:p w14:paraId="75FBF22A"/>
    <w:p w14:paraId="40F0591E"/>
    <w:p w14:paraId="2648699F"/>
    <w:p w14:paraId="2E80DC05"/>
    <w:p w14:paraId="467862EA"/>
    <w:tbl>
      <w:tblPr>
        <w:tblStyle w:val="4"/>
        <w:tblW w:w="12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125"/>
        <w:gridCol w:w="1125"/>
        <w:gridCol w:w="1276"/>
        <w:gridCol w:w="1686"/>
        <w:gridCol w:w="1322"/>
        <w:gridCol w:w="1125"/>
        <w:gridCol w:w="1125"/>
        <w:gridCol w:w="1043"/>
        <w:gridCol w:w="968"/>
        <w:gridCol w:w="1046"/>
      </w:tblGrid>
      <w:tr w14:paraId="1275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宁东管委会本级部门项目支出预算绩效目标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 w14:paraId="7DE7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</w:tr>
      <w:tr w14:paraId="2C3E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单位：（公章）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E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F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3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8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4D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64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7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D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9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E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4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177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项目名称</w:t>
            </w:r>
          </w:p>
        </w:tc>
        <w:tc>
          <w:tcPr>
            <w:tcW w:w="960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C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2023年从业人员健康体检经费保障资金</w:t>
            </w:r>
          </w:p>
        </w:tc>
      </w:tr>
      <w:tr w14:paraId="05E9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D1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主管部门</w:t>
            </w:r>
          </w:p>
        </w:tc>
        <w:tc>
          <w:tcPr>
            <w:tcW w:w="292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宁东管委会社会事务局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7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实施单位</w:t>
            </w:r>
          </w:p>
        </w:tc>
        <w:tc>
          <w:tcPr>
            <w:tcW w:w="432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0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宁夏回族自治区宁东医院</w:t>
            </w:r>
          </w:p>
        </w:tc>
      </w:tr>
      <w:tr w14:paraId="7AED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3E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项目资金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4F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C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年初预算数（A）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A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全年执行数（B）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C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分值(10)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D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执行率（B/A）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</w:tr>
      <w:tr w14:paraId="566F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E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（万元）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7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年度资金总额：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7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BC86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9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254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91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A44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6C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57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其中：财政拨款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6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601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9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D51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F4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8D5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19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2CD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其他资金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AE9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914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0B2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04E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EBBD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E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E1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年度总体</w:t>
            </w:r>
          </w:p>
        </w:tc>
        <w:tc>
          <w:tcPr>
            <w:tcW w:w="5085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7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10月底前，自治区疾控中心停止从业人员预防性体检工作，移交至指定的医疗机构承担，当地财政部门确保经费落实国家出台免费体检政策后，所有公共场所服务人员全部体检经费地方财政解决.宁卫计发[2017]208号，宁财（综）发[2017]193号</w:t>
            </w:r>
          </w:p>
        </w:tc>
        <w:tc>
          <w:tcPr>
            <w:tcW w:w="6675" w:type="dxa"/>
            <w:gridSpan w:val="6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6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月1日至202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日期间，宁东医院完成了宁东辖区内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人次的从业人员预防性健康体检工作</w:t>
            </w:r>
          </w:p>
        </w:tc>
      </w:tr>
      <w:tr w14:paraId="18E8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7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目标</w:t>
            </w:r>
          </w:p>
        </w:tc>
        <w:tc>
          <w:tcPr>
            <w:tcW w:w="5085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5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gridSpan w:val="6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4B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B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C5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D2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一级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C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二级指标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3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三级指标</w:t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B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年度指标值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E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实际完成值（B）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D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分值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得分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9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偏差原因分析及改进措施</w:t>
            </w:r>
          </w:p>
        </w:tc>
      </w:tr>
      <w:tr w14:paraId="1FBD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6D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A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2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09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AC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15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3D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BD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B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4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91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0C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D0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数量指标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宁东区域公共场所全部从业人员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7500人次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76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7201人次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BA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20F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AE4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39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13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D4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B22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D4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5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A5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1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1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5D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F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质量指标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9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业务收支结余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6D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5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AA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FA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0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89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D9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EB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3F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资产负债率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A3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小于30%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2B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4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06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4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FC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9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（50分）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9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时效指标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C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项目资金到账时间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58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9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D7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5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A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8F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EB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AE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6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项目结束时间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75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AB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A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68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2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F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68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00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成本指标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4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>体检次均费用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64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116.00元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85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115.92元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94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A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9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4B6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B9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3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（15分）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95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E93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CE4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C2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771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E6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1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FC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AE2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8F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经济效益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患者次均费用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D5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96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降低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A4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C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9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E2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14C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FE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0E0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E36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0A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6CC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F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5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D1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442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4F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社会效益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F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从业人员健康水平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2F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DD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提高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AF4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07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2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D8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FA7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6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48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公立医院的公益性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D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得以保障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70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得以保障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7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331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6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7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95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8C05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（30分）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D0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可持续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5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公立医院运行可持续性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7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05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FE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D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8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C5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01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影响指标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A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公立医院运行效率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81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F9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持续提高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3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4A2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E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D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0F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满意度指标（10分）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82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服务对象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7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患者满意度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8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DB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86%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C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DB9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5C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B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55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5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B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满意度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2F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B2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E0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1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9BB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8E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8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A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3B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F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指标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92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职工满意度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大于85%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93A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88%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2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4A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FA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2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4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0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总 　　　 分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B2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D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A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注：</w:t>
            </w:r>
            <w:r>
              <w:rPr>
                <w:rStyle w:val="11"/>
                <w:rFonts w:eastAsia="仿宋_GB2312"/>
                <w:lang w:val="en-US" w:eastAsia="zh-CN" w:bidi="ar"/>
              </w:rPr>
              <w:t>1.</w:t>
            </w:r>
            <w:r>
              <w:rPr>
                <w:rStyle w:val="10"/>
                <w:rFonts w:hAnsi="宋体"/>
                <w:lang w:val="en-US" w:eastAsia="zh-CN" w:bidi="ar"/>
              </w:rPr>
              <w:t>得分一档最高不能超过该指标分值上限。</w:t>
            </w:r>
          </w:p>
        </w:tc>
      </w:tr>
      <w:tr w14:paraId="188A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2.</w:t>
            </w:r>
            <w:r>
              <w:rPr>
                <w:rStyle w:val="10"/>
                <w:rFonts w:hAnsi="宋体"/>
                <w:lang w:val="en-US" w:eastAsia="zh-CN" w:bidi="ar"/>
              </w:rPr>
              <w:t>定性根据指标完成情况分为：达成预期指标、部分达成预期指标并具有一定效果、未达成预期指标且效果较差三档：分别按照指标值的</w:t>
            </w:r>
            <w:r>
              <w:rPr>
                <w:rStyle w:val="11"/>
                <w:rFonts w:eastAsia="仿宋_GB2312"/>
                <w:lang w:val="en-US" w:eastAsia="zh-CN" w:bidi="ar"/>
              </w:rPr>
              <w:t>100-80%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80-50%</w:t>
            </w:r>
            <w:r>
              <w:rPr>
                <w:rStyle w:val="10"/>
                <w:rFonts w:hAnsi="宋体"/>
                <w:lang w:val="en-US" w:eastAsia="zh-CN" w:bidi="ar"/>
              </w:rPr>
              <w:t>（含）、</w:t>
            </w:r>
            <w:r>
              <w:rPr>
                <w:rStyle w:val="11"/>
                <w:rFonts w:eastAsia="仿宋_GB2312"/>
                <w:lang w:val="en-US" w:eastAsia="zh-CN" w:bidi="ar"/>
              </w:rPr>
              <w:t>50-0%</w:t>
            </w:r>
            <w:r>
              <w:rPr>
                <w:rStyle w:val="10"/>
                <w:rFonts w:hAnsi="宋体"/>
                <w:lang w:val="en-US" w:eastAsia="zh-CN" w:bidi="ar"/>
              </w:rPr>
              <w:t>合理确定分值。</w:t>
            </w:r>
          </w:p>
        </w:tc>
      </w:tr>
      <w:tr w14:paraId="5385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3.</w:t>
            </w:r>
            <w:r>
              <w:rPr>
                <w:rStyle w:val="10"/>
                <w:rFonts w:hAnsi="宋体"/>
                <w:lang w:val="en-US" w:eastAsia="zh-CN" w:bidi="ar"/>
              </w:rPr>
              <w:t>定量指标若为正向指标（即指标值为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≥**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11"/>
                <w:rFonts w:eastAsia="仿宋_GB2312"/>
                <w:lang w:val="en-US" w:eastAsia="zh-CN" w:bidi="ar"/>
              </w:rPr>
              <w:t>≤**</w:t>
            </w:r>
            <w:r>
              <w:rPr>
                <w:rStyle w:val="10"/>
                <w:rFonts w:hAnsi="宋体"/>
                <w:lang w:val="en-US" w:eastAsia="zh-CN" w:bidi="ar"/>
              </w:rPr>
              <w:t>），则得分计算方法：年度指标值（</w:t>
            </w:r>
            <w:r>
              <w:rPr>
                <w:rStyle w:val="11"/>
                <w:rFonts w:eastAsia="仿宋_GB2312"/>
                <w:lang w:val="en-US" w:eastAsia="zh-CN" w:bidi="ar"/>
              </w:rPr>
              <w:t>A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/</w:t>
            </w:r>
            <w:r>
              <w:rPr>
                <w:rStyle w:val="10"/>
                <w:rFonts w:hAnsi="宋体"/>
                <w:lang w:val="en-US" w:eastAsia="zh-CN" w:bidi="ar"/>
              </w:rPr>
              <w:t>全年实际值（</w:t>
            </w:r>
            <w:r>
              <w:rPr>
                <w:rStyle w:val="11"/>
                <w:rFonts w:eastAsia="仿宋_GB2312"/>
                <w:lang w:val="en-US" w:eastAsia="zh-CN" w:bidi="ar"/>
              </w:rPr>
              <w:t>B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  <w:r>
              <w:rPr>
                <w:rStyle w:val="11"/>
                <w:rFonts w:eastAsia="仿宋_GB2312"/>
                <w:lang w:val="en-US" w:eastAsia="zh-CN" w:bidi="ar"/>
              </w:rPr>
              <w:t>×</w:t>
            </w:r>
            <w:r>
              <w:rPr>
                <w:rStyle w:val="10"/>
                <w:rFonts w:hAnsi="宋体"/>
                <w:lang w:val="en-US" w:eastAsia="zh-CN" w:bidi="ar"/>
              </w:rPr>
              <w:t>该指标分值。</w:t>
            </w:r>
          </w:p>
        </w:tc>
      </w:tr>
      <w:tr w14:paraId="5CE6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4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　　</w:t>
            </w:r>
            <w:r>
              <w:rPr>
                <w:rStyle w:val="11"/>
                <w:rFonts w:eastAsia="仿宋_GB2312"/>
                <w:lang w:val="en-US" w:eastAsia="zh-CN" w:bidi="ar"/>
              </w:rPr>
              <w:t>4.</w:t>
            </w:r>
            <w:r>
              <w:rPr>
                <w:rStyle w:val="10"/>
                <w:rFonts w:hAnsi="宋体"/>
                <w:lang w:val="en-US" w:eastAsia="zh-CN" w:bidi="ar"/>
              </w:rPr>
              <w:t>请在</w:t>
            </w:r>
            <w:r>
              <w:rPr>
                <w:rStyle w:val="11"/>
                <w:rFonts w:eastAsia="仿宋_GB2312"/>
                <w:lang w:val="en-US" w:eastAsia="zh-CN" w:bidi="ar"/>
              </w:rPr>
              <w:t>“</w:t>
            </w:r>
            <w:r>
              <w:rPr>
                <w:rStyle w:val="10"/>
                <w:rFonts w:hAnsi="宋体"/>
                <w:lang w:val="en-US" w:eastAsia="zh-CN" w:bidi="ar"/>
              </w:rPr>
              <w:t>未完成原因分析</w:t>
            </w:r>
            <w:r>
              <w:rPr>
                <w:rStyle w:val="11"/>
                <w:rFonts w:eastAsia="仿宋_GB2312"/>
                <w:lang w:val="en-US" w:eastAsia="zh-CN" w:bidi="ar"/>
              </w:rPr>
              <w:t>”</w:t>
            </w:r>
            <w:r>
              <w:rPr>
                <w:rStyle w:val="10"/>
                <w:rFonts w:hAnsi="宋体"/>
                <w:lang w:val="en-US" w:eastAsia="zh-CN" w:bidi="ar"/>
              </w:rPr>
              <w:t>一栏中简要说明偏离目标、不能完成目标的原因及今后改进的措施。</w:t>
            </w:r>
          </w:p>
        </w:tc>
      </w:tr>
    </w:tbl>
    <w:p w14:paraId="5B8C163B"/>
    <w:p w14:paraId="41EC5B41"/>
    <w:tbl>
      <w:tblPr>
        <w:tblStyle w:val="4"/>
        <w:tblW w:w="12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920"/>
        <w:gridCol w:w="1785"/>
        <w:gridCol w:w="1350"/>
        <w:gridCol w:w="1335"/>
        <w:gridCol w:w="2745"/>
      </w:tblGrid>
      <w:tr w14:paraId="78FD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宁东医院转移支付区域（项目）绩效目标自评表 </w:t>
            </w:r>
          </w:p>
        </w:tc>
      </w:tr>
      <w:tr w14:paraId="3CB2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8A1C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1D3C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9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公立医院综合改革项目</w:t>
            </w:r>
          </w:p>
        </w:tc>
      </w:tr>
      <w:tr w14:paraId="7F5C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9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国家卫健委</w:t>
            </w:r>
          </w:p>
        </w:tc>
      </w:tr>
      <w:tr w14:paraId="5766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F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宁东管委会社会事务局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宁东医院</w:t>
            </w:r>
          </w:p>
        </w:tc>
      </w:tr>
      <w:tr w14:paraId="0047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A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预算执行率（B/A)</w:t>
            </w:r>
          </w:p>
        </w:tc>
      </w:tr>
      <w:tr w14:paraId="7DA9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2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CD8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6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0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6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自治区资金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C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4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9D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3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0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市县区资金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2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C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64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B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F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7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8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A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5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 w14:paraId="456E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动落实《公务员关于印发“十三五”深化医药卫生体制改革规划的通知》（国发[2016]78号）、《国务院办公厅关于全面推开县级公立医院综合改革的实施意见》（国办发[2015]33号）、《国务院办公厅关于城市公立医院综合改革试点的指导意见》（国办发[2015]38号）和《关于巩固破除医药补医成果持续深化公立医院综合改革的通知》（国卫体改发[2018]4号）《关于加强公立医院党的建设工作的意见》《国务院办公厅关于建立现代医院管理制度的指导意见》（国办发[2017]67号）等文件提出的公立医院综合改革任务。2019年，继续深化公立医院综合改革，加快推进县域紧密型医共体试点和现代医院管理制度改革试点工作；加快健全完善现代医院管理制度，协调推进医疗价格、人事薪酬、药品流通、医保支付改革，切实提高医疗卫生服务质量。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不断巩固破除以药补医的改革成果，公立医院的药占比、耗占比、医疗服务收入占比等指标较上年度明显优化。现代医院管理制度初步建立，医疗服务能力不断提升，百姓就医获得感不断改善。</w:t>
            </w:r>
          </w:p>
        </w:tc>
      </w:tr>
      <w:tr w14:paraId="1D60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47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 w14:paraId="105D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3D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公立医院个数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0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A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DEB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医疗服务收入占比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比上年提高3%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9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31B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0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药占比（不含中药饮片）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总体降到到30%以下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实际在23%以下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7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B50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4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6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公立医院平均住院日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较上年缩短或低于上年全国平均值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低于上年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B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14C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8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医疗费用增长幅度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稳定合理增长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稳定在合理水平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4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B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FF4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9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公立医院百元医疗收入的医疗支出（均不含药品收入）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较上年降低或低于上年全国平均值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低于上年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3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6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C1F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收支结余率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6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F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1C5E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E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公立医院的公益性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得以保障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得以保障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4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6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980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E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确保医院正常运行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保障基本运营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基本运营正常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8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B6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1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公立医院的服务能力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得到提高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A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得到提高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D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6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153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得到提高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D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得到提高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7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2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1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090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0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</w:p>
        </w:tc>
      </w:tr>
      <w:tr w14:paraId="0CF2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7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</w:p>
        </w:tc>
      </w:tr>
      <w:tr w14:paraId="22E2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5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</w:p>
        </w:tc>
      </w:tr>
      <w:tr w14:paraId="30CA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3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4.定量指标，地方各级主管部门对资金使用单位填写的实际完成值汇总时，绝对值直接累加计算，相对值按照资金额度加权平均计算。</w:t>
            </w:r>
          </w:p>
        </w:tc>
      </w:tr>
      <w:tr w14:paraId="4B99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35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5.定性指标，资金使用单位分别按照100%-80%（含）、80%-60%（含）、60-0%合理填写完成值。地方各级主管部门汇总时，按照资金额度加权平均计算。</w:t>
            </w:r>
          </w:p>
        </w:tc>
      </w:tr>
    </w:tbl>
    <w:p w14:paraId="3E994AAA"/>
    <w:p w14:paraId="37B7A687"/>
    <w:p w14:paraId="2F57487E"/>
    <w:p w14:paraId="0AAB0ADC"/>
    <w:p w14:paraId="6FEE3C82"/>
    <w:p w14:paraId="7ED69F27"/>
    <w:p w14:paraId="72ADF905"/>
    <w:p w14:paraId="3D10A10A"/>
    <w:p w14:paraId="6885D859"/>
    <w:p w14:paraId="01EFEAEA"/>
    <w:p w14:paraId="3ED7AB61"/>
    <w:p w14:paraId="3ADDBC26"/>
    <w:p w14:paraId="51CD268E"/>
    <w:p w14:paraId="0615CCD1"/>
    <w:p w14:paraId="1DDFC54D"/>
    <w:p w14:paraId="533B501D"/>
    <w:p w14:paraId="6714F996"/>
    <w:p w14:paraId="1BA4ACA3"/>
    <w:p w14:paraId="5C1DDCB5"/>
    <w:p w14:paraId="4F01FE1E"/>
    <w:p w14:paraId="5F69BC06"/>
    <w:p w14:paraId="61680EA5"/>
    <w:p w14:paraId="7275DC96"/>
    <w:tbl>
      <w:tblPr>
        <w:tblStyle w:val="4"/>
        <w:tblW w:w="11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5"/>
        <w:gridCol w:w="1230"/>
        <w:gridCol w:w="2235"/>
        <w:gridCol w:w="1820"/>
        <w:gridCol w:w="1548"/>
        <w:gridCol w:w="1428"/>
        <w:gridCol w:w="2014"/>
      </w:tblGrid>
      <w:tr w14:paraId="3285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1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中央转移支付区域（项目）绩效目标自评表 </w:t>
            </w:r>
          </w:p>
        </w:tc>
      </w:tr>
      <w:tr w14:paraId="5513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3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12EA8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0112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9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重大传染病防控经费</w:t>
            </w:r>
          </w:p>
        </w:tc>
      </w:tr>
      <w:tr w14:paraId="31DD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9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国家卫健委</w:t>
            </w:r>
          </w:p>
        </w:tc>
      </w:tr>
      <w:tr w14:paraId="338C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宁东管委会社会事务局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3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宁夏回族自治区宁东医院、宁东社区卫生服务中心</w:t>
            </w:r>
          </w:p>
        </w:tc>
      </w:tr>
      <w:tr w14:paraId="37CD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资金投入情况（万元）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F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预算执行率（B/A</w:t>
            </w:r>
            <w:r>
              <w:rPr>
                <w:rStyle w:val="12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Style w:val="13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67BD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9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99.25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6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29.80%</w:t>
            </w:r>
          </w:p>
        </w:tc>
      </w:tr>
      <w:tr w14:paraId="3033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B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>其中：中央财政资金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29.80%</w:t>
            </w:r>
          </w:p>
        </w:tc>
      </w:tr>
      <w:tr w14:paraId="5D84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C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　　自治区</w:t>
            </w:r>
            <w:r>
              <w:rPr>
                <w:rStyle w:val="14"/>
                <w:lang w:val="en-US" w:eastAsia="zh-CN" w:bidi="ar"/>
              </w:rPr>
              <w:t>财政资金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D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7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7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上年结转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42.65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2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D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C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2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 xml:space="preserve">      　　地方资金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C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F6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7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14"/>
                <w:lang w:val="en-US" w:eastAsia="zh-CN" w:bidi="ar"/>
              </w:rPr>
              <w:t xml:space="preserve">  　其他资金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5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A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2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E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10E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存在问题和改进措施</w:t>
            </w:r>
          </w:p>
        </w:tc>
      </w:tr>
      <w:tr w14:paraId="4FEC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248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97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3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分配科学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F9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C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C16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D3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B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下达及时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9B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E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82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63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0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C1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9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77A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6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E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5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71B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B7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8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准确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8B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D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8B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1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按照绩效考核兑现相关经费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8F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5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F22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1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1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3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严格按照相关制度执行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7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4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 w14:paraId="51C5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F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0-6岁儿童常规接种。为实施预防艾滋病、梅毒和乙肝母婴传播项目，减少因艾滋病、梅毒和乙肝母婴传播造成的儿童感染，改善妇女、儿童的健康水平及生活质量。控制包虫病等重点寄生虫病流行。加强严重精神患者筛查、登记报告和随访服务</w:t>
            </w:r>
          </w:p>
        </w:tc>
        <w:tc>
          <w:tcPr>
            <w:tcW w:w="4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因疫情原因除预防艾滋病、梅毒、乙肝母婴传播项目和扩大免疫项目未达到指标指数，其他项目均已达到指标值。</w:t>
            </w:r>
          </w:p>
        </w:tc>
      </w:tr>
      <w:tr w14:paraId="2E17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A9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 w14:paraId="7A44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138A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预防艾滋病、梅毒、乙肝母婴传播项目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0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300人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0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919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9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包虫病家犬驱虫完成率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3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9D2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人群包虫病筛查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1000居民、100学生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B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1000居民、100学生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3B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B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E6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5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7岁以下儿童健康管理人数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1972人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A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B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DF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7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孕产妇艾滋病、梅毒和乙肝孕早期检测率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2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9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A14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6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D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死因监测规范报告率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3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5CA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7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在册严重精神障碍患者规范管理率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5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3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1FA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4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9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8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A8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适龄儿童国家免疫规划疫苗针对传染病门诊就诊及住院医疗费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逐步下降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逐步下降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9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D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60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D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通过对重点疾病的防控，居民就诊及病人医疗费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逐步下降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C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逐步下降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3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E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9FA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3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适龄儿童国家免疫规划疫苗针对传染病发病率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维持在较低水平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维持在较低水平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1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D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C9F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5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E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出生缺陷发生率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得到降低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得到降低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C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3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832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C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重点传染病的危害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逐步降低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逐步降低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F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4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2B7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F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居民健康水平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D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765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5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4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公共卫生均等化水平提高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D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4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16B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重大传染病防控对象满意度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7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B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0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D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请在此处简要说明中央巡视、各级审计和财政监督中发现的问题及其所涉及的金额，如没有请填无。</w:t>
            </w:r>
          </w:p>
        </w:tc>
      </w:tr>
      <w:tr w14:paraId="6B90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</w:p>
        </w:tc>
      </w:tr>
      <w:tr w14:paraId="5E51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C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　　 2.其他资金包括与中央财政资金、地方财政资金共同投入到同一项目的自有资金、社会资金，以及以前年度的结转结余资金等。</w:t>
            </w:r>
          </w:p>
        </w:tc>
      </w:tr>
      <w:tr w14:paraId="00E8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86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　　 3.全年执行数是指按照国库集中支付制度要求所形成的实际支出。</w:t>
            </w:r>
          </w:p>
        </w:tc>
      </w:tr>
      <w:tr w14:paraId="007D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　　</w:t>
            </w:r>
          </w:p>
        </w:tc>
      </w:tr>
    </w:tbl>
    <w:p w14:paraId="36BA2667"/>
    <w:sectPr>
      <w:footerReference r:id="rId3" w:type="default"/>
      <w:footerReference r:id="rId4" w:type="even"/>
      <w:pgSz w:w="16783" w:h="11850" w:orient="landscape"/>
      <w:pgMar w:top="1588" w:right="1418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瑞意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7B8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F3A1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TAwODE4ZDQ4ODBiNzViMTRkMjU0MDFmZjliNjEifQ=="/>
  </w:docVars>
  <w:rsids>
    <w:rsidRoot w:val="00000000"/>
    <w:rsid w:val="02287D4B"/>
    <w:rsid w:val="178578FD"/>
    <w:rsid w:val="200535FF"/>
    <w:rsid w:val="22B67E76"/>
    <w:rsid w:val="23C964D5"/>
    <w:rsid w:val="2E5075B4"/>
    <w:rsid w:val="2FBB4D1E"/>
    <w:rsid w:val="3126266B"/>
    <w:rsid w:val="34B864A1"/>
    <w:rsid w:val="38CD5119"/>
    <w:rsid w:val="3ADD1FEC"/>
    <w:rsid w:val="3EA20264"/>
    <w:rsid w:val="401E7980"/>
    <w:rsid w:val="41A73354"/>
    <w:rsid w:val="5A00787D"/>
    <w:rsid w:val="5BC776FE"/>
    <w:rsid w:val="6003235D"/>
    <w:rsid w:val="603E3690"/>
    <w:rsid w:val="61956B5A"/>
    <w:rsid w:val="62EB1EE5"/>
    <w:rsid w:val="6C0F3905"/>
    <w:rsid w:val="79E36238"/>
    <w:rsid w:val="7DB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61"/>
    <w:basedOn w:val="5"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11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91"/>
    <w:basedOn w:val="5"/>
    <w:uiPriority w:val="0"/>
    <w:rPr>
      <w:rFonts w:ascii="汉仪细圆B5" w:hAnsi="汉仪细圆B5" w:eastAsia="汉仪细圆B5" w:cs="汉仪细圆B5"/>
      <w:color w:val="000000"/>
      <w:sz w:val="20"/>
      <w:szCs w:val="20"/>
      <w:u w:val="none"/>
    </w:rPr>
  </w:style>
  <w:style w:type="character" w:customStyle="1" w:styleId="13">
    <w:name w:val="font101"/>
    <w:basedOn w:val="5"/>
    <w:uiPriority w:val="0"/>
    <w:rPr>
      <w:rFonts w:ascii="汉仪瑞意宋简" w:hAnsi="汉仪瑞意宋简" w:eastAsia="汉仪瑞意宋简" w:cs="汉仪瑞意宋简"/>
      <w:color w:val="000000"/>
      <w:sz w:val="20"/>
      <w:szCs w:val="20"/>
      <w:u w:val="none"/>
    </w:rPr>
  </w:style>
  <w:style w:type="character" w:customStyle="1" w:styleId="14">
    <w:name w:val="font112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4228</Words>
  <Characters>4781</Characters>
  <Lines>0</Lines>
  <Paragraphs>0</Paragraphs>
  <TotalTime>17</TotalTime>
  <ScaleCrop>false</ScaleCrop>
  <LinksUpToDate>false</LinksUpToDate>
  <CharactersWithSpaces>4937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2023-09-25T06:36:00Z</dcterms:created>
  <dc:creator>Administrator</dc:creator>
  <cp:lastModifiedBy>文禾</cp:lastModifiedBy>
  <dcterms:modified xsi:type="dcterms:W3CDTF">2024-08-27T08:44:09Z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1A2C1DA6BAC44717B83DEB83199925F3_12</vt:lpwstr>
  </property>
</Properties>
</file>