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宁东能源化工基地管理委员会环境监测站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2018年部门预算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/>
    <w:p/>
    <w:p/>
    <w:p/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目录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单位概况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二、部门预算单位构成</w:t>
      </w:r>
    </w:p>
    <w:p>
      <w:pPr>
        <w:widowControl/>
        <w:spacing w:before="156" w:beforeLines="50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2018年部门预算表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一、财政拨款收支总表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二、财政拨款支出总表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三、一般公共预算支出表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四、一般公共预算基本支出表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五、一般公共预算“三公”经费支出表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六、政府性基金预算支出表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七、部门收支总表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八、部门收入总表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九、部门支出总表</w:t>
      </w:r>
    </w:p>
    <w:p>
      <w:pPr>
        <w:widowControl/>
        <w:spacing w:before="156" w:beforeLines="50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2018年部门预算情况说明</w:t>
      </w:r>
    </w:p>
    <w:p>
      <w:pPr>
        <w:widowControl/>
        <w:spacing w:before="156" w:beforeLines="50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spacing w:before="156" w:beforeLines="50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bookmarkStart w:id="0" w:name="_GoBack"/>
      <w:bookmarkEnd w:id="0"/>
    </w:p>
    <w:p/>
    <w:p/>
    <w:p/>
    <w:p/>
    <w:p/>
    <w:p/>
    <w:p/>
    <w:p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宁东环境监测站2018年部门预算——单位概况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ind w:firstLine="707" w:firstLineChars="221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完成自治区环保厅下达的大气、地表水、生活饮用水水源地、噪声的监测任务；承担宁东地区矿山、工业污染源以及医院、学校、服务行业的废水、废气、废渣的监测等工作。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二、部门预算单位构成</w:t>
      </w:r>
    </w:p>
    <w:p>
      <w:pPr>
        <w:spacing w:before="156" w:beforeLines="50" w:line="360" w:lineRule="auto"/>
        <w:ind w:right="17" w:firstLine="640" w:firstLineChars="200"/>
        <w:rPr>
          <w:rFonts w:ascii="仿宋_GB2312" w:hAnsi="Arial Narrow" w:eastAsia="仿宋_GB2312" w:cs="Arial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环境监测站于2011年9月成立，隶属宁夏回族自治区宁东能源化工基地管理委员会环境保护局管理，属全额拨款的事业单位，</w:t>
      </w:r>
      <w:r>
        <w:rPr>
          <w:rFonts w:hint="eastAsia" w:ascii="仿宋_GB2312" w:hAnsi="Arial Narrow" w:eastAsia="仿宋_GB2312" w:cs="Arial"/>
          <w:sz w:val="32"/>
          <w:szCs w:val="32"/>
        </w:rPr>
        <w:t>下设综合科和业务科两个科室，自治区编办核批编制10人，在编人员9人。</w:t>
      </w:r>
    </w:p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宁东环境监测站2018年部门预算——预算表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411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411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支出总计              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2"/>
                <w:szCs w:val="22"/>
              </w:rPr>
              <w:t xml:space="preserve">    411</w:t>
            </w:r>
          </w:p>
        </w:tc>
      </w:tr>
    </w:tbl>
    <w:p>
      <w:pPr>
        <w:widowControl/>
        <w:outlineLvl w:val="1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4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016"/>
        <w:gridCol w:w="993"/>
        <w:gridCol w:w="881"/>
        <w:gridCol w:w="1134"/>
        <w:gridCol w:w="1545"/>
        <w:gridCol w:w="1134"/>
        <w:gridCol w:w="1235"/>
        <w:gridCol w:w="24"/>
        <w:gridCol w:w="1367"/>
        <w:gridCol w:w="1260"/>
        <w:gridCol w:w="1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功能分类科目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预算安排总计</w:t>
            </w:r>
          </w:p>
        </w:tc>
        <w:tc>
          <w:tcPr>
            <w:tcW w:w="6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公共财政预算拨款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自治区本级财力安排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中央专项转移支付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中央一般性转移支付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自治区本级财力安排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中央专项转移支付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中央一般性转移支付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自治区经费拨款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其他环境监测与监察支出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2110399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其他污染防治支出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建设项目环评审查与监督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hint="eastAsia"/>
        </w:rPr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  <w:rPr>
          <w:rFonts w:hint="eastAsia"/>
        </w:rPr>
      </w:pPr>
    </w:p>
    <w:p>
      <w:pPr>
        <w:widowControl/>
        <w:jc w:val="left"/>
        <w:outlineLvl w:val="1"/>
        <w:rPr>
          <w:rFonts w:hint="eastAsia"/>
        </w:rPr>
      </w:pPr>
    </w:p>
    <w:p>
      <w:pPr>
        <w:widowControl/>
        <w:jc w:val="left"/>
        <w:outlineLvl w:val="1"/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3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2018年预算数与2017年执行数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其他环境监测与监察支出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39.7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216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其他污染防治支出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315.4%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建设项目环评审查与监督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25.09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96.91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386.2%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8.66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1.64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18.94%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四、一般公共预算基本支出表</w:t>
      </w:r>
    </w:p>
    <w:p>
      <w:pPr>
        <w:widowControl/>
        <w:ind w:firstLine="880" w:firstLineChars="20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一般公共预算基本支出表</w:t>
      </w:r>
    </w:p>
    <w:p>
      <w:pPr>
        <w:widowControl/>
        <w:ind w:firstLine="64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pPr w:leftFromText="180" w:rightFromText="180" w:vertAnchor="text" w:tblpXSpec="center" w:tblpY="1"/>
        <w:tblOverlap w:val="never"/>
        <w:tblW w:w="135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</w:t>
      </w:r>
    </w:p>
    <w:p>
      <w:pPr>
        <w:widowControl/>
        <w:ind w:firstLine="640" w:firstLineChars="200"/>
        <w:outlineLvl w:val="1"/>
        <w:rPr>
          <w:rFonts w:ascii="黑体" w:hAnsi="宋体" w:eastAsia="黑体"/>
          <w:kern w:val="0"/>
          <w:sz w:val="32"/>
          <w:szCs w:val="32"/>
        </w:rPr>
      </w:pPr>
    </w:p>
    <w:p>
      <w:pPr>
        <w:widowControl/>
        <w:jc w:val="left"/>
        <w:outlineLvl w:val="1"/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五、一般公共预算“三公”经费支出表</w:t>
      </w:r>
    </w:p>
    <w:p>
      <w:pPr>
        <w:widowControl/>
        <w:ind w:firstLine="880" w:firstLineChars="20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一般公共预算“三公”经费支出表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46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六、政府性基金预算支出表</w:t>
      </w:r>
    </w:p>
    <w:p>
      <w:pPr>
        <w:widowControl/>
        <w:ind w:firstLine="880" w:firstLineChars="20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政府性基金预算支出表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402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57"/>
        <w:gridCol w:w="1418"/>
        <w:gridCol w:w="1418"/>
        <w:gridCol w:w="1418"/>
        <w:gridCol w:w="1418"/>
        <w:gridCol w:w="1418"/>
        <w:gridCol w:w="1418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989"/>
              </w:tabs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7090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资本性支出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部门收支预算总表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5"/>
        <w:tblW w:w="13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32"/>
        <w:gridCol w:w="3483"/>
        <w:gridCol w:w="1557"/>
        <w:gridCol w:w="1625"/>
        <w:gridCol w:w="18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1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51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411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411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三、用事业基金弥补收支差额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411　</w:t>
            </w:r>
          </w:p>
        </w:tc>
        <w:tc>
          <w:tcPr>
            <w:tcW w:w="8512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支出总计411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部门收入总表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W w:w="14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4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上年结转、结余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事业经营收入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其他环境监测与监察支出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2110399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其他污染防治支出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2110203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建设项目环评审查与监督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2110101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部门支出总表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W w:w="14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2110299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其他环境监测与监察支出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224.7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216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2110399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其他污染防治支出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2110203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建设项目环评审查与监督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2110101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10.3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宁东环境监测站2018年部门预算——部门预算情况说明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一、关于宁东环境监测站2018年财政拨款收支预算情况的总体说明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　宁东环境监测站2018年财政拨款收支总预算411万元。收入预算包括：一般公共预算拨款411万元。支出预算包括：一般公共服务支出411万元。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二、关于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宁东环境监测站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2018年一般公共预算本年拨款情况说明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（一）基本支出情况说明。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2018年一般公共预算拨款基本支出23万元，比2017年执行数据增加5.3万元，增长29.94%。其中：公用经费10.3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其他交通费、其他商品和服务支出、办公设备购置、专用设备购置；公务用车运行维护费4万元；司机劳务费8.7万元。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（二）项目支出情况说明。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宁东环境监测站2018年一般公共预算拨款项目支出388万元，其中：2110299节能环保支出-环境监测与监察-其他环境监测与监察支出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2018年预算216万元，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2017年执行数据增加184.3万元，增长581.39%，主要用于环保监测监察大楼水电、物业管理费、气象服务项目、环境监测与监察耗材；2110399节能环保支出-污染防治-其他污染防治支出2018年预算50万元，比2017年执行数据增加37万元，增长284.62%，主要用于污染减排工作；2110203节能环保支出-环境监测与监察-建设项目环评审查与监督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2018年预算122万元，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比2017年执行数据增加96.91万元，增长386.25%，主要用于环境监测运行经费、委托监测项目。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三、关于宁东环境监测站2018年一般公共预算“三公”经费预算情况说明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宁东环境监测站2018年“三公”经费财政拨款预算数为4.1万元，其中：公务用车运行费4万元，公务接待费0.1万元。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2018年“三公”经费财政拨款预算比2017年增加0.7万元，其中：公务接待费减少0.3万元，公务用车运行经费增加1万元。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四、关于宁东环境监测站2018年政府性基金预算拨款情况说明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五、关于宁东环境监测站2018年收支预算情况的总体说明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按照全口径预算的原则，宁东环境监测站2018年所有收入和支出均纳入部门预算管理。收入总预算411万元，支出总预算    411万元。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收入预算包括：财政拨款收411万元，占100%。</w:t>
      </w:r>
    </w:p>
    <w:p>
      <w:pPr>
        <w:widowControl/>
        <w:spacing w:line="560" w:lineRule="exact"/>
        <w:ind w:left="178" w:leftChars="85" w:firstLine="361" w:firstLineChars="11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支出预算包括：基本支出23万元，占5.6%；项目支出388    </w:t>
      </w:r>
      <w:r>
        <w:rPr>
          <w:rFonts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万元，占94.4%。</w:t>
      </w:r>
    </w:p>
    <w:p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六、其他重要事项的情况说明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（一）政府采购情况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2018年，宁东环境监测站政府采购预算130万元，其中：政府采购货物预算50万元，政府采购服务预算80万元。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（二）国有资产占用使用情况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截至2017年12月31日，宁东环境监测站占用使用国有资产总体情况为房屋3600平方米；车辆1辆，价值22.1万元；办公家具价值32.83万元；其他资产价值1142.23万元。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宁东管委会（本级）</w:t>
      </w:r>
      <w:r>
        <w:rPr>
          <w:rFonts w:hint="eastAsia" w:ascii="黑体" w:hAnsi="黑体" w:eastAsia="黑体" w:cs="黑体"/>
          <w:kern w:val="0"/>
          <w:sz w:val="32"/>
          <w:szCs w:val="32"/>
        </w:rPr>
        <w:t>2018年部门预算——名词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解释</w:t>
      </w:r>
    </w:p>
    <w:p>
      <w:pPr>
        <w:widowControl/>
        <w:spacing w:line="560" w:lineRule="exact"/>
        <w:ind w:firstLine="48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560" w:lineRule="exact"/>
        <w:ind w:firstLine="48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jc w:val="left"/>
        <w:outlineLvl w:val="1"/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CC"/>
    <w:rsid w:val="00034EEF"/>
    <w:rsid w:val="000B1CFC"/>
    <w:rsid w:val="000C6937"/>
    <w:rsid w:val="000C77CB"/>
    <w:rsid w:val="000E74C9"/>
    <w:rsid w:val="00162EC8"/>
    <w:rsid w:val="00187F79"/>
    <w:rsid w:val="00190481"/>
    <w:rsid w:val="001E1ADE"/>
    <w:rsid w:val="001E50DB"/>
    <w:rsid w:val="001F6CF1"/>
    <w:rsid w:val="00277E9A"/>
    <w:rsid w:val="00347FB0"/>
    <w:rsid w:val="00390A9A"/>
    <w:rsid w:val="003B40D0"/>
    <w:rsid w:val="00405558"/>
    <w:rsid w:val="00410458"/>
    <w:rsid w:val="004D2D7A"/>
    <w:rsid w:val="00542348"/>
    <w:rsid w:val="005500C3"/>
    <w:rsid w:val="00560476"/>
    <w:rsid w:val="005E0FB4"/>
    <w:rsid w:val="0061548B"/>
    <w:rsid w:val="006476C7"/>
    <w:rsid w:val="0066445B"/>
    <w:rsid w:val="0070420B"/>
    <w:rsid w:val="00714E95"/>
    <w:rsid w:val="00720D06"/>
    <w:rsid w:val="007924DE"/>
    <w:rsid w:val="007D12C5"/>
    <w:rsid w:val="007D2CCA"/>
    <w:rsid w:val="007F5429"/>
    <w:rsid w:val="00813D97"/>
    <w:rsid w:val="0082291F"/>
    <w:rsid w:val="00847490"/>
    <w:rsid w:val="008C7594"/>
    <w:rsid w:val="008D45E1"/>
    <w:rsid w:val="008E60E4"/>
    <w:rsid w:val="0097313B"/>
    <w:rsid w:val="009A40BA"/>
    <w:rsid w:val="009B4EDC"/>
    <w:rsid w:val="00A03E19"/>
    <w:rsid w:val="00A60DCC"/>
    <w:rsid w:val="00A81574"/>
    <w:rsid w:val="00AD0CD7"/>
    <w:rsid w:val="00AD6F66"/>
    <w:rsid w:val="00AE158B"/>
    <w:rsid w:val="00AE7336"/>
    <w:rsid w:val="00B13135"/>
    <w:rsid w:val="00B50AD5"/>
    <w:rsid w:val="00B94B59"/>
    <w:rsid w:val="00BF0831"/>
    <w:rsid w:val="00C27401"/>
    <w:rsid w:val="00CA6359"/>
    <w:rsid w:val="00D72B4D"/>
    <w:rsid w:val="00DE3D37"/>
    <w:rsid w:val="00DE774C"/>
    <w:rsid w:val="00E02B6D"/>
    <w:rsid w:val="00E1006C"/>
    <w:rsid w:val="00E40EC8"/>
    <w:rsid w:val="00E87536"/>
    <w:rsid w:val="61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1057</Words>
  <Characters>6026</Characters>
  <Lines>50</Lines>
  <Paragraphs>14</Paragraphs>
  <TotalTime>0</TotalTime>
  <ScaleCrop>false</ScaleCrop>
  <LinksUpToDate>false</LinksUpToDate>
  <CharactersWithSpaces>7069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2018-03-20T07:28:00Z</dcterms:created>
  <dc:creator>AutoBVT</dc:creator>
  <cp:lastModifiedBy>lenovo</cp:lastModifiedBy>
  <dcterms:modified xsi:type="dcterms:W3CDTF">2018-03-29T08:01:12Z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