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spacing w:before="10"/>
        <w:rPr>
          <w:rFonts w:ascii="Times New Roman"/>
          <w:sz w:val="29"/>
        </w:rPr>
      </w:pPr>
      <w:bookmarkStart w:id="0" w:name="_GoBack"/>
      <w:bookmarkEnd w:id="0"/>
    </w:p>
    <w:p w:rsidR="00B32044" w:rsidRPr="00AB2094" w:rsidRDefault="002625D2">
      <w:pPr>
        <w:pStyle w:val="1"/>
        <w:spacing w:line="735" w:lineRule="exact"/>
        <w:ind w:left="1478" w:right="1758"/>
        <w:jc w:val="center"/>
        <w:rPr>
          <w:rFonts w:ascii="方正小标宋简体" w:eastAsia="方正小标宋简体" w:hint="eastAsia"/>
        </w:rPr>
      </w:pPr>
      <w:r w:rsidRPr="00AB2094">
        <w:rPr>
          <w:rFonts w:ascii="方正小标宋简体" w:eastAsia="方正小标宋简体" w:hint="eastAsia"/>
        </w:rPr>
        <w:t>宁东基地管委会</w:t>
      </w:r>
      <w:r w:rsidRPr="00AB2094">
        <w:rPr>
          <w:rFonts w:ascii="方正小标宋简体" w:eastAsia="方正小标宋简体" w:hint="eastAsia"/>
        </w:rPr>
        <w:t>本级</w:t>
      </w:r>
      <w:r w:rsidRPr="00AB2094">
        <w:rPr>
          <w:rFonts w:ascii="方正小标宋简体" w:eastAsia="方正小标宋简体" w:hint="eastAsia"/>
        </w:rPr>
        <w:t xml:space="preserve">2022 </w:t>
      </w:r>
      <w:proofErr w:type="gramStart"/>
      <w:r w:rsidRPr="00AB2094">
        <w:rPr>
          <w:rFonts w:ascii="方正小标宋简体" w:eastAsia="方正小标宋简体" w:hint="eastAsia"/>
        </w:rPr>
        <w:t>年部门</w:t>
      </w:r>
      <w:proofErr w:type="gramEnd"/>
      <w:r w:rsidRPr="00AB2094">
        <w:rPr>
          <w:rFonts w:ascii="方正小标宋简体" w:eastAsia="方正小标宋简体" w:hint="eastAsia"/>
        </w:rPr>
        <w:t>预算</w:t>
      </w:r>
    </w:p>
    <w:p w:rsidR="00B32044" w:rsidRDefault="00B32044">
      <w:pPr>
        <w:jc w:val="center"/>
        <w:rPr>
          <w:rFonts w:ascii="Arial Unicode MS" w:eastAsia="Arial Unicode MS"/>
          <w:sz w:val="44"/>
        </w:rPr>
        <w:sectPr w:rsidR="00B32044">
          <w:type w:val="continuous"/>
          <w:pgSz w:w="11910" w:h="16840"/>
          <w:pgMar w:top="1580" w:right="1200" w:bottom="280" w:left="1480" w:header="720" w:footer="720" w:gutter="0"/>
          <w:cols w:space="720"/>
        </w:sectPr>
      </w:pPr>
    </w:p>
    <w:p w:rsidR="00B32044" w:rsidRDefault="002625D2">
      <w:pPr>
        <w:spacing w:line="717" w:lineRule="exact"/>
        <w:ind w:left="1478" w:right="1647"/>
        <w:jc w:val="center"/>
        <w:rPr>
          <w:rFonts w:ascii="Arial Unicode MS" w:eastAsia="Arial Unicode MS"/>
          <w:sz w:val="44"/>
        </w:rPr>
      </w:pPr>
      <w:r>
        <w:rPr>
          <w:rFonts w:ascii="Arial Unicode MS" w:eastAsia="Arial Unicode MS" w:hint="eastAsia"/>
          <w:sz w:val="44"/>
        </w:rPr>
        <w:lastRenderedPageBreak/>
        <w:t>目录</w:t>
      </w:r>
    </w:p>
    <w:p w:rsidR="00B32044" w:rsidRDefault="00B32044">
      <w:pPr>
        <w:pStyle w:val="a4"/>
        <w:rPr>
          <w:rFonts w:ascii="Arial Unicode MS"/>
          <w:sz w:val="20"/>
        </w:rPr>
      </w:pPr>
    </w:p>
    <w:p w:rsidR="00B32044" w:rsidRDefault="00B32044">
      <w:pPr>
        <w:pStyle w:val="a4"/>
        <w:spacing w:before="8"/>
        <w:rPr>
          <w:rFonts w:ascii="Arial Unicode MS"/>
          <w:sz w:val="24"/>
        </w:rPr>
      </w:pPr>
    </w:p>
    <w:p w:rsidR="00B32044" w:rsidRDefault="002625D2">
      <w:pPr>
        <w:pStyle w:val="a4"/>
        <w:tabs>
          <w:tab w:val="left" w:pos="2347"/>
        </w:tabs>
        <w:spacing w:before="54"/>
        <w:ind w:left="747"/>
        <w:rPr>
          <w:rFonts w:ascii="黑体" w:eastAsia="黑体"/>
        </w:rPr>
      </w:pPr>
      <w:r>
        <w:rPr>
          <w:rFonts w:ascii="黑体" w:eastAsia="黑体" w:hint="eastAsia"/>
        </w:rPr>
        <w:t>第一部分</w:t>
      </w:r>
      <w:r>
        <w:rPr>
          <w:rFonts w:ascii="黑体" w:eastAsia="黑体" w:hint="eastAsia"/>
        </w:rPr>
        <w:tab/>
      </w:r>
      <w:r>
        <w:rPr>
          <w:rFonts w:ascii="黑体" w:eastAsia="黑体" w:hint="eastAsia"/>
        </w:rPr>
        <w:t>单位概况</w:t>
      </w:r>
    </w:p>
    <w:p w:rsidR="00B32044" w:rsidRDefault="002625D2">
      <w:pPr>
        <w:pStyle w:val="a4"/>
        <w:spacing w:before="214"/>
        <w:ind w:left="747"/>
        <w:rPr>
          <w:rFonts w:ascii="仿宋_GB2312" w:eastAsia="仿宋_GB2312"/>
        </w:rPr>
      </w:pPr>
      <w:r>
        <w:rPr>
          <w:rFonts w:ascii="仿宋_GB2312" w:eastAsia="仿宋_GB2312" w:hint="eastAsia"/>
        </w:rPr>
        <w:t>一、主要职能</w:t>
      </w:r>
    </w:p>
    <w:p w:rsidR="00B32044" w:rsidRDefault="002625D2">
      <w:pPr>
        <w:pStyle w:val="a4"/>
        <w:spacing w:before="214"/>
        <w:ind w:left="747"/>
        <w:rPr>
          <w:rFonts w:ascii="仿宋_GB2312" w:eastAsia="仿宋_GB2312"/>
        </w:rPr>
      </w:pPr>
      <w:r>
        <w:rPr>
          <w:rFonts w:ascii="仿宋_GB2312" w:eastAsia="仿宋_GB2312" w:hint="eastAsia"/>
        </w:rPr>
        <w:t>二、部门预算单位构成</w:t>
      </w:r>
    </w:p>
    <w:p w:rsidR="00B32044" w:rsidRDefault="00B32044">
      <w:pPr>
        <w:pStyle w:val="a4"/>
        <w:spacing w:before="12"/>
        <w:rPr>
          <w:rFonts w:ascii="仿宋_GB2312"/>
          <w:sz w:val="28"/>
        </w:rPr>
      </w:pPr>
    </w:p>
    <w:p w:rsidR="00B32044" w:rsidRDefault="002625D2">
      <w:pPr>
        <w:pStyle w:val="a4"/>
        <w:tabs>
          <w:tab w:val="left" w:pos="2347"/>
        </w:tabs>
        <w:ind w:left="747"/>
        <w:rPr>
          <w:rFonts w:ascii="黑体" w:eastAsia="黑体"/>
        </w:rPr>
      </w:pPr>
      <w:r>
        <w:rPr>
          <w:rFonts w:ascii="黑体" w:eastAsia="黑体" w:hint="eastAsia"/>
        </w:rPr>
        <w:t>第二部分</w:t>
      </w:r>
      <w:r>
        <w:rPr>
          <w:rFonts w:ascii="黑体" w:eastAsia="黑体" w:hint="eastAsia"/>
        </w:rPr>
        <w:tab/>
        <w:t>2022</w:t>
      </w:r>
      <w:r>
        <w:rPr>
          <w:rFonts w:ascii="黑体" w:eastAsia="黑体" w:hint="eastAsia"/>
        </w:rPr>
        <w:t>年部门预算表</w:t>
      </w:r>
    </w:p>
    <w:p w:rsidR="00B32044" w:rsidRDefault="002625D2">
      <w:pPr>
        <w:pStyle w:val="a4"/>
        <w:spacing w:before="214"/>
        <w:ind w:left="747"/>
        <w:rPr>
          <w:rFonts w:ascii="仿宋_GB2312" w:eastAsia="仿宋_GB2312"/>
        </w:rPr>
      </w:pPr>
      <w:r>
        <w:rPr>
          <w:rFonts w:ascii="仿宋_GB2312" w:eastAsia="仿宋_GB2312" w:hint="eastAsia"/>
        </w:rPr>
        <w:t>一、财政拨款收支预算总表</w:t>
      </w:r>
    </w:p>
    <w:p w:rsidR="00B32044" w:rsidRDefault="002625D2">
      <w:pPr>
        <w:pStyle w:val="a4"/>
        <w:spacing w:before="214"/>
        <w:ind w:left="747"/>
        <w:rPr>
          <w:rFonts w:ascii="仿宋_GB2312" w:eastAsia="仿宋_GB2312"/>
        </w:rPr>
      </w:pPr>
      <w:r>
        <w:rPr>
          <w:rFonts w:ascii="仿宋_GB2312" w:eastAsia="仿宋_GB2312" w:hint="eastAsia"/>
        </w:rPr>
        <w:t>二、一般公共预算财政拨款支出预算表</w:t>
      </w:r>
    </w:p>
    <w:p w:rsidR="00B32044" w:rsidRDefault="002625D2">
      <w:pPr>
        <w:pStyle w:val="a4"/>
        <w:spacing w:before="214"/>
        <w:ind w:left="747"/>
        <w:rPr>
          <w:rFonts w:ascii="仿宋_GB2312" w:eastAsia="仿宋_GB2312"/>
        </w:rPr>
      </w:pPr>
      <w:r>
        <w:rPr>
          <w:rFonts w:ascii="仿宋_GB2312" w:eastAsia="仿宋_GB2312" w:hint="eastAsia"/>
        </w:rPr>
        <w:t>三、一般公共预算财政拨款基本支出预算表</w:t>
      </w:r>
    </w:p>
    <w:p w:rsidR="00B32044" w:rsidRDefault="002625D2">
      <w:pPr>
        <w:pStyle w:val="a4"/>
        <w:spacing w:before="214" w:line="364" w:lineRule="auto"/>
        <w:ind w:left="747" w:right="1118"/>
        <w:rPr>
          <w:rFonts w:ascii="仿宋_GB2312" w:eastAsia="仿宋_GB2312" w:hAnsi="仿宋_GB2312"/>
        </w:rPr>
      </w:pPr>
      <w:r>
        <w:rPr>
          <w:rFonts w:ascii="仿宋_GB2312" w:eastAsia="仿宋_GB2312" w:hAnsi="仿宋_GB2312" w:hint="eastAsia"/>
        </w:rPr>
        <w:t>四、一般公共预算财政拨款“三公”经费支出预算表五、政府性基金预算财政拨款支出预算表</w:t>
      </w:r>
    </w:p>
    <w:p w:rsidR="00B32044" w:rsidRDefault="002625D2">
      <w:pPr>
        <w:pStyle w:val="a4"/>
        <w:spacing w:before="1" w:line="364" w:lineRule="auto"/>
        <w:ind w:left="747" w:right="5277"/>
        <w:rPr>
          <w:rFonts w:ascii="仿宋_GB2312" w:eastAsia="仿宋_GB2312"/>
        </w:rPr>
      </w:pPr>
      <w:r>
        <w:rPr>
          <w:rFonts w:ascii="仿宋_GB2312" w:eastAsia="仿宋_GB2312" w:hint="eastAsia"/>
          <w:spacing w:val="-2"/>
        </w:rPr>
        <w:t>六、部门收支预算总表</w:t>
      </w:r>
      <w:r>
        <w:rPr>
          <w:rFonts w:ascii="仿宋_GB2312" w:eastAsia="仿宋_GB2312" w:hint="eastAsia"/>
        </w:rPr>
        <w:t>七、部门收入预算表</w:t>
      </w:r>
      <w:r>
        <w:rPr>
          <w:rFonts w:ascii="仿宋_GB2312" w:eastAsia="仿宋_GB2312" w:hint="eastAsia"/>
        </w:rPr>
        <w:t xml:space="preserve"> </w:t>
      </w:r>
      <w:r>
        <w:rPr>
          <w:rFonts w:ascii="仿宋_GB2312" w:eastAsia="仿宋_GB2312" w:hint="eastAsia"/>
        </w:rPr>
        <w:t>八、部门支出预算表</w:t>
      </w:r>
    </w:p>
    <w:p w:rsidR="00B32044" w:rsidRDefault="002625D2">
      <w:pPr>
        <w:pStyle w:val="a4"/>
        <w:tabs>
          <w:tab w:val="left" w:pos="2347"/>
        </w:tabs>
        <w:spacing w:before="159" w:line="456" w:lineRule="auto"/>
        <w:ind w:left="747" w:right="3276"/>
        <w:rPr>
          <w:rFonts w:ascii="黑体" w:eastAsia="黑体"/>
        </w:rPr>
      </w:pPr>
      <w:r>
        <w:rPr>
          <w:rFonts w:ascii="黑体" w:eastAsia="黑体" w:hint="eastAsia"/>
        </w:rPr>
        <w:t>第三部分</w:t>
      </w:r>
      <w:r>
        <w:rPr>
          <w:rFonts w:ascii="黑体" w:eastAsia="黑体" w:hint="eastAsia"/>
        </w:rPr>
        <w:tab/>
        <w:t>2022</w:t>
      </w:r>
      <w:r>
        <w:rPr>
          <w:rFonts w:ascii="黑体" w:eastAsia="黑体" w:hint="eastAsia"/>
        </w:rPr>
        <w:t>年部门预算情况说</w:t>
      </w:r>
      <w:r>
        <w:rPr>
          <w:rFonts w:ascii="黑体" w:eastAsia="黑体" w:hint="eastAsia"/>
          <w:spacing w:val="-13"/>
        </w:rPr>
        <w:t>明</w:t>
      </w:r>
      <w:r>
        <w:rPr>
          <w:rFonts w:ascii="黑体" w:eastAsia="黑体" w:hint="eastAsia"/>
        </w:rPr>
        <w:t>第四部分</w:t>
      </w:r>
      <w:r>
        <w:rPr>
          <w:rFonts w:ascii="黑体" w:eastAsia="黑体" w:hint="eastAsia"/>
        </w:rPr>
        <w:tab/>
      </w:r>
      <w:r>
        <w:rPr>
          <w:rFonts w:ascii="黑体" w:eastAsia="黑体" w:hint="eastAsia"/>
        </w:rPr>
        <w:t>名词解释</w:t>
      </w: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B32044">
      <w:pPr>
        <w:widowControl/>
        <w:jc w:val="center"/>
        <w:outlineLvl w:val="1"/>
        <w:rPr>
          <w:rFonts w:ascii="仿宋_GB2312" w:eastAsia="仿宋_GB2312"/>
          <w:b/>
          <w:sz w:val="36"/>
          <w:szCs w:val="36"/>
        </w:rPr>
      </w:pPr>
    </w:p>
    <w:p w:rsidR="00B32044" w:rsidRDefault="002625D2">
      <w:pPr>
        <w:widowControl/>
        <w:jc w:val="center"/>
        <w:outlineLvl w:val="1"/>
        <w:rPr>
          <w:rFonts w:ascii="仿宋_GB2312" w:eastAsia="仿宋_GB2312"/>
          <w:b/>
          <w:sz w:val="36"/>
          <w:szCs w:val="36"/>
        </w:rPr>
      </w:pPr>
      <w:r>
        <w:rPr>
          <w:rFonts w:ascii="仿宋_GB2312" w:eastAsia="仿宋_GB2312" w:hint="eastAsia"/>
          <w:b/>
          <w:sz w:val="36"/>
          <w:szCs w:val="36"/>
        </w:rPr>
        <w:lastRenderedPageBreak/>
        <w:t>宁东管委会（本级）</w:t>
      </w:r>
      <w:r>
        <w:rPr>
          <w:rFonts w:ascii="仿宋_GB2312" w:eastAsia="仿宋_GB2312" w:hint="eastAsia"/>
          <w:b/>
          <w:sz w:val="36"/>
          <w:szCs w:val="36"/>
        </w:rPr>
        <w:t>2021</w:t>
      </w:r>
      <w:r>
        <w:rPr>
          <w:rFonts w:ascii="仿宋_GB2312" w:eastAsia="仿宋_GB2312" w:hint="eastAsia"/>
          <w:b/>
          <w:sz w:val="36"/>
          <w:szCs w:val="36"/>
        </w:rPr>
        <w:t>年部门预算——单位概况</w:t>
      </w:r>
    </w:p>
    <w:p w:rsidR="00B32044" w:rsidRDefault="00B32044">
      <w:pPr>
        <w:pStyle w:val="a4"/>
        <w:spacing w:before="17"/>
        <w:rPr>
          <w:rFonts w:ascii="Arial Unicode MS"/>
          <w:sz w:val="44"/>
        </w:rPr>
      </w:pPr>
    </w:p>
    <w:p w:rsidR="00B32044" w:rsidRDefault="002625D2">
      <w:pPr>
        <w:pStyle w:val="a4"/>
        <w:ind w:left="747"/>
        <w:rPr>
          <w:rFonts w:ascii="黑体" w:eastAsia="黑体"/>
        </w:rPr>
      </w:pPr>
      <w:r>
        <w:rPr>
          <w:rFonts w:ascii="黑体" w:eastAsia="黑体" w:hint="eastAsia"/>
        </w:rPr>
        <w:t>一、主要职能</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宁夏宁东能源化工基地位于宁夏中东部，距离银川</w:t>
      </w:r>
      <w:r>
        <w:rPr>
          <w:rFonts w:ascii="仿宋_GB2312" w:eastAsia="仿宋_GB2312" w:hAnsi="仿宋" w:hint="eastAsia"/>
          <w:spacing w:val="-10"/>
        </w:rPr>
        <w:t>40</w:t>
      </w:r>
      <w:r>
        <w:rPr>
          <w:rFonts w:ascii="仿宋_GB2312" w:eastAsia="仿宋_GB2312" w:hAnsi="仿宋" w:hint="eastAsia"/>
          <w:spacing w:val="-10"/>
        </w:rPr>
        <w:t>公里、河东机场</w:t>
      </w:r>
      <w:r>
        <w:rPr>
          <w:rFonts w:ascii="仿宋_GB2312" w:eastAsia="仿宋_GB2312" w:hAnsi="仿宋" w:hint="eastAsia"/>
          <w:spacing w:val="-10"/>
        </w:rPr>
        <w:t>25</w:t>
      </w:r>
      <w:r>
        <w:rPr>
          <w:rFonts w:ascii="仿宋_GB2312" w:eastAsia="仿宋_GB2312" w:hAnsi="仿宋" w:hint="eastAsia"/>
          <w:spacing w:val="-10"/>
        </w:rPr>
        <w:t>公里，规划总面积</w:t>
      </w:r>
      <w:r>
        <w:rPr>
          <w:rFonts w:ascii="仿宋_GB2312" w:eastAsia="仿宋_GB2312" w:hAnsi="仿宋" w:hint="eastAsia"/>
          <w:spacing w:val="-10"/>
        </w:rPr>
        <w:t>3500</w:t>
      </w:r>
      <w:r>
        <w:rPr>
          <w:rFonts w:ascii="仿宋_GB2312" w:eastAsia="仿宋_GB2312" w:hAnsi="仿宋" w:hint="eastAsia"/>
          <w:spacing w:val="-10"/>
        </w:rPr>
        <w:t>平方公里，核心区面积</w:t>
      </w:r>
      <w:r>
        <w:rPr>
          <w:rFonts w:ascii="仿宋_GB2312" w:eastAsia="仿宋_GB2312" w:hAnsi="仿宋" w:hint="eastAsia"/>
          <w:spacing w:val="-10"/>
        </w:rPr>
        <w:t>800</w:t>
      </w:r>
      <w:r>
        <w:rPr>
          <w:rFonts w:ascii="仿宋_GB2312" w:eastAsia="仿宋_GB2312" w:hAnsi="仿宋" w:hint="eastAsia"/>
          <w:spacing w:val="-10"/>
        </w:rPr>
        <w:t>平方公里。是国务院批准的国家重点开发区、国家重要的大型煤炭生产基地、“西电东送”火电基地、煤化工产业基地和现代煤化工示范区、循环经济示范区。宁东能源化工基地管理委员会对宁东基地实行统一领导、统一规划、统筹建设、协调管理。</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（一）根据国家、自治区方针政策和法规，研究制定宁东基地发展目标、政策措施和总体规划，研究制定建设发展重大问题。</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（二）组织编制宁东基地中长期发展规划年度计划并组织实施。</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（三</w:t>
      </w:r>
      <w:r>
        <w:rPr>
          <w:rFonts w:ascii="仿宋_GB2312" w:eastAsia="仿宋_GB2312" w:hAnsi="仿宋" w:hint="eastAsia"/>
          <w:spacing w:val="-10"/>
        </w:rPr>
        <w:t>）根据管理权限和授权，负责或者依法参与宁东基地各类项目的审批、审核（备案）工作。</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（四）根据管理权限和授权，负责宁东基地的财政、金融、审计、生态环境、经济社会统计工作。</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（五）根据管理权限和授权，负责宁东基地人力资源社会保障、自然资源、应急管理、国有资产等行政管理工作。</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（六）负责基地基础设施的建设和管理。负责宁东</w:t>
      </w:r>
      <w:proofErr w:type="gramStart"/>
      <w:r>
        <w:rPr>
          <w:rFonts w:ascii="仿宋_GB2312" w:eastAsia="仿宋_GB2312" w:hAnsi="仿宋" w:hint="eastAsia"/>
          <w:spacing w:val="-10"/>
        </w:rPr>
        <w:t>镇区域</w:t>
      </w:r>
      <w:proofErr w:type="gramEnd"/>
      <w:r>
        <w:rPr>
          <w:rFonts w:ascii="仿宋_GB2312" w:eastAsia="仿宋_GB2312" w:hAnsi="仿宋" w:hint="eastAsia"/>
          <w:spacing w:val="-10"/>
        </w:rPr>
        <w:t>内的教育、科技、文化、卫生等公共事业。</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（七）负责基地的招商引资和经济技术合作工作。</w:t>
      </w:r>
    </w:p>
    <w:p w:rsidR="00B32044" w:rsidRDefault="002625D2">
      <w:pPr>
        <w:pStyle w:val="a4"/>
        <w:spacing w:before="111" w:line="256" w:lineRule="auto"/>
        <w:ind w:left="106" w:right="272" w:firstLine="640"/>
        <w:jc w:val="both"/>
        <w:rPr>
          <w:rFonts w:ascii="仿宋" w:eastAsia="仿宋" w:hAnsi="仿宋"/>
          <w:spacing w:val="-10"/>
        </w:rPr>
      </w:pPr>
      <w:r>
        <w:rPr>
          <w:rFonts w:ascii="仿宋_GB2312" w:eastAsia="仿宋_GB2312" w:hAnsi="仿宋" w:hint="eastAsia"/>
          <w:spacing w:val="-10"/>
        </w:rPr>
        <w:t>（八）完成自治区党委、政府交办的其他工作。</w:t>
      </w:r>
    </w:p>
    <w:p w:rsidR="00B32044" w:rsidRDefault="00B32044">
      <w:pPr>
        <w:pStyle w:val="a4"/>
        <w:spacing w:before="111" w:line="256" w:lineRule="auto"/>
        <w:ind w:left="106" w:right="272" w:firstLine="640"/>
        <w:jc w:val="both"/>
        <w:rPr>
          <w:spacing w:val="-10"/>
        </w:rPr>
      </w:pPr>
    </w:p>
    <w:p w:rsidR="00B32044" w:rsidRDefault="002625D2">
      <w:pPr>
        <w:pStyle w:val="a4"/>
        <w:ind w:left="747"/>
        <w:rPr>
          <w:rFonts w:ascii="黑体" w:eastAsia="黑体"/>
        </w:rPr>
      </w:pPr>
      <w:r>
        <w:rPr>
          <w:rFonts w:ascii="黑体" w:eastAsia="黑体" w:hint="eastAsia"/>
        </w:rPr>
        <w:t>二、部门预算单位构成</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t>部门预算只包括管委会</w:t>
      </w:r>
      <w:r>
        <w:rPr>
          <w:rFonts w:ascii="仿宋_GB2312" w:eastAsia="仿宋_GB2312" w:hAnsi="仿宋" w:hint="eastAsia"/>
          <w:spacing w:val="-10"/>
        </w:rPr>
        <w:t xml:space="preserve"> 1 </w:t>
      </w:r>
      <w:proofErr w:type="gramStart"/>
      <w:r>
        <w:rPr>
          <w:rFonts w:ascii="仿宋_GB2312" w:eastAsia="仿宋_GB2312" w:hAnsi="仿宋" w:hint="eastAsia"/>
          <w:spacing w:val="-10"/>
        </w:rPr>
        <w:t>个</w:t>
      </w:r>
      <w:proofErr w:type="gramEnd"/>
      <w:r>
        <w:rPr>
          <w:rFonts w:ascii="仿宋_GB2312" w:eastAsia="仿宋_GB2312" w:hAnsi="仿宋" w:hint="eastAsia"/>
          <w:spacing w:val="-10"/>
        </w:rPr>
        <w:t>行政单位</w:t>
      </w:r>
      <w:r>
        <w:rPr>
          <w:rFonts w:ascii="仿宋_GB2312" w:eastAsia="仿宋_GB2312" w:hAnsi="仿宋" w:hint="eastAsia"/>
          <w:spacing w:val="-10"/>
        </w:rPr>
        <w:t>，其中包括：办公室（审计办）、党群工作部（机关党委）、经济发展局（统计局）、社会事务局、财政金融局、生态环境局、应急管理局、招商局、纪检监察工委、科技和信息化局。</w:t>
      </w:r>
    </w:p>
    <w:p w:rsidR="00B32044" w:rsidRDefault="002625D2">
      <w:pPr>
        <w:pStyle w:val="a4"/>
        <w:spacing w:before="111" w:line="256" w:lineRule="auto"/>
        <w:ind w:left="106" w:right="272" w:firstLine="640"/>
        <w:jc w:val="both"/>
        <w:rPr>
          <w:rFonts w:ascii="仿宋_GB2312" w:eastAsia="仿宋_GB2312" w:hAnsi="仿宋"/>
          <w:spacing w:val="-10"/>
        </w:rPr>
      </w:pPr>
      <w:r>
        <w:rPr>
          <w:rFonts w:ascii="仿宋_GB2312" w:eastAsia="仿宋_GB2312" w:hAnsi="仿宋" w:hint="eastAsia"/>
          <w:spacing w:val="-10"/>
        </w:rPr>
        <w:lastRenderedPageBreak/>
        <w:t>截止</w:t>
      </w:r>
      <w:r>
        <w:rPr>
          <w:rFonts w:ascii="仿宋_GB2312" w:eastAsia="仿宋_GB2312" w:hAnsi="仿宋" w:hint="eastAsia"/>
          <w:spacing w:val="-10"/>
        </w:rPr>
        <w:t xml:space="preserve"> 2021 </w:t>
      </w:r>
      <w:r>
        <w:rPr>
          <w:rFonts w:ascii="仿宋_GB2312" w:eastAsia="仿宋_GB2312" w:hAnsi="仿宋" w:hint="eastAsia"/>
          <w:spacing w:val="-10"/>
        </w:rPr>
        <w:t>年末，管委会实有人员</w:t>
      </w:r>
      <w:r>
        <w:rPr>
          <w:rFonts w:ascii="仿宋_GB2312" w:eastAsia="仿宋_GB2312" w:hAnsi="仿宋" w:hint="eastAsia"/>
          <w:spacing w:val="-10"/>
        </w:rPr>
        <w:t xml:space="preserve"> 145 </w:t>
      </w:r>
      <w:r>
        <w:rPr>
          <w:rFonts w:ascii="仿宋_GB2312" w:eastAsia="仿宋_GB2312" w:hAnsi="仿宋" w:hint="eastAsia"/>
          <w:spacing w:val="-10"/>
        </w:rPr>
        <w:t>人，其中：在编人员</w:t>
      </w:r>
      <w:r>
        <w:rPr>
          <w:rFonts w:ascii="仿宋_GB2312" w:eastAsia="仿宋_GB2312" w:hAnsi="仿宋" w:hint="eastAsia"/>
          <w:spacing w:val="-10"/>
        </w:rPr>
        <w:t xml:space="preserve"> 140 </w:t>
      </w:r>
      <w:r>
        <w:rPr>
          <w:rFonts w:ascii="仿宋_GB2312" w:eastAsia="仿宋_GB2312" w:hAnsi="仿宋" w:hint="eastAsia"/>
          <w:spacing w:val="-10"/>
        </w:rPr>
        <w:t>人、控编人员</w:t>
      </w:r>
      <w:r>
        <w:rPr>
          <w:rFonts w:ascii="仿宋_GB2312" w:eastAsia="仿宋_GB2312" w:hAnsi="仿宋" w:hint="eastAsia"/>
          <w:spacing w:val="-10"/>
        </w:rPr>
        <w:t xml:space="preserve"> 5 </w:t>
      </w:r>
      <w:r>
        <w:rPr>
          <w:rFonts w:ascii="仿宋_GB2312" w:eastAsia="仿宋_GB2312" w:hAnsi="仿宋" w:hint="eastAsia"/>
          <w:spacing w:val="-10"/>
        </w:rPr>
        <w:t>人；管委会公务用车</w:t>
      </w:r>
      <w:r>
        <w:rPr>
          <w:rFonts w:ascii="仿宋_GB2312" w:eastAsia="仿宋_GB2312" w:hAnsi="仿宋" w:hint="eastAsia"/>
          <w:spacing w:val="-10"/>
        </w:rPr>
        <w:t xml:space="preserve"> 9 </w:t>
      </w:r>
      <w:r>
        <w:rPr>
          <w:rFonts w:ascii="仿宋_GB2312" w:eastAsia="仿宋_GB2312" w:hAnsi="仿宋" w:hint="eastAsia"/>
          <w:spacing w:val="-10"/>
        </w:rPr>
        <w:t>辆。</w:t>
      </w:r>
    </w:p>
    <w:p w:rsidR="00B32044" w:rsidRDefault="00B32044">
      <w:pPr>
        <w:pStyle w:val="a4"/>
        <w:spacing w:before="111" w:line="256" w:lineRule="auto"/>
        <w:ind w:left="106" w:right="272" w:firstLine="640"/>
        <w:jc w:val="both"/>
        <w:rPr>
          <w:spacing w:val="-10"/>
        </w:rPr>
      </w:pPr>
    </w:p>
    <w:p w:rsidR="00B32044" w:rsidRDefault="00B32044">
      <w:pPr>
        <w:pStyle w:val="a4"/>
        <w:rPr>
          <w:sz w:val="20"/>
        </w:rPr>
      </w:pPr>
    </w:p>
    <w:p w:rsidR="00B32044" w:rsidRDefault="00B32044">
      <w:pPr>
        <w:pStyle w:val="a4"/>
        <w:spacing w:before="9"/>
        <w:rPr>
          <w:sz w:val="28"/>
        </w:rPr>
      </w:pPr>
    </w:p>
    <w:p w:rsidR="00B32044" w:rsidRDefault="00B32044">
      <w:pPr>
        <w:pStyle w:val="1"/>
        <w:spacing w:line="737" w:lineRule="exact"/>
        <w:ind w:left="220"/>
      </w:pPr>
    </w:p>
    <w:p w:rsidR="00B32044" w:rsidRDefault="00B32044">
      <w:pPr>
        <w:pStyle w:val="1"/>
        <w:spacing w:line="737" w:lineRule="exact"/>
        <w:ind w:left="220"/>
      </w:pPr>
    </w:p>
    <w:p w:rsidR="00B32044" w:rsidRDefault="00B32044">
      <w:pPr>
        <w:pStyle w:val="1"/>
        <w:spacing w:line="737" w:lineRule="exact"/>
        <w:ind w:left="0"/>
        <w:jc w:val="both"/>
        <w:sectPr w:rsidR="00B32044">
          <w:footerReference w:type="even" r:id="rId9"/>
          <w:footerReference w:type="default" r:id="rId10"/>
          <w:pgSz w:w="11910" w:h="16840"/>
          <w:pgMar w:top="1120" w:right="1140" w:bottom="1220" w:left="1100" w:header="0" w:footer="959" w:gutter="0"/>
          <w:pgNumType w:start="6"/>
          <w:cols w:space="720"/>
        </w:sectPr>
      </w:pPr>
    </w:p>
    <w:p w:rsidR="00B32044" w:rsidRDefault="002625D2">
      <w:pPr>
        <w:pStyle w:val="a4"/>
        <w:spacing w:before="54"/>
        <w:jc w:val="center"/>
        <w:rPr>
          <w:rFonts w:ascii="Arial Unicode MS" w:eastAsia="Arial Unicode MS" w:hAnsi="Arial Unicode MS" w:cs="Arial Unicode MS"/>
          <w:sz w:val="44"/>
          <w:szCs w:val="44"/>
        </w:rPr>
      </w:pPr>
      <w:r>
        <w:rPr>
          <w:rFonts w:ascii="Arial Unicode MS" w:eastAsia="Arial Unicode MS" w:hAnsi="Arial Unicode MS" w:cs="Arial Unicode MS" w:hint="eastAsia"/>
          <w:sz w:val="44"/>
          <w:szCs w:val="44"/>
        </w:rPr>
        <w:lastRenderedPageBreak/>
        <w:t>宁东基地管委会</w:t>
      </w:r>
      <w:r>
        <w:rPr>
          <w:rFonts w:ascii="Arial Unicode MS" w:eastAsia="Arial Unicode MS" w:hAnsi="Arial Unicode MS" w:cs="Arial Unicode MS"/>
          <w:sz w:val="44"/>
          <w:szCs w:val="44"/>
        </w:rPr>
        <w:t xml:space="preserve"> 2022 </w:t>
      </w:r>
      <w:proofErr w:type="gramStart"/>
      <w:r>
        <w:rPr>
          <w:rFonts w:ascii="Arial Unicode MS" w:eastAsia="Arial Unicode MS" w:hAnsi="Arial Unicode MS" w:cs="Arial Unicode MS"/>
          <w:sz w:val="44"/>
          <w:szCs w:val="44"/>
        </w:rPr>
        <w:t>年部门</w:t>
      </w:r>
      <w:proofErr w:type="gramEnd"/>
      <w:r>
        <w:rPr>
          <w:rFonts w:ascii="Arial Unicode MS" w:eastAsia="Arial Unicode MS" w:hAnsi="Arial Unicode MS" w:cs="Arial Unicode MS"/>
          <w:sz w:val="44"/>
          <w:szCs w:val="44"/>
        </w:rPr>
        <w:t>预算</w:t>
      </w:r>
      <w:r>
        <w:rPr>
          <w:rFonts w:ascii="Arial Unicode MS" w:eastAsia="Arial Unicode MS" w:hAnsi="Arial Unicode MS" w:cs="Arial Unicode MS"/>
          <w:sz w:val="44"/>
          <w:szCs w:val="44"/>
        </w:rPr>
        <w:t>——</w:t>
      </w:r>
      <w:r>
        <w:rPr>
          <w:rFonts w:ascii="Arial Unicode MS" w:eastAsia="Arial Unicode MS" w:hAnsi="Arial Unicode MS" w:cs="Arial Unicode MS"/>
          <w:sz w:val="44"/>
          <w:szCs w:val="44"/>
        </w:rPr>
        <w:t>预算</w:t>
      </w:r>
      <w:r>
        <w:rPr>
          <w:rFonts w:ascii="Arial Unicode MS" w:eastAsia="Arial Unicode MS" w:hAnsi="Arial Unicode MS" w:cs="Arial Unicode MS" w:hint="eastAsia"/>
          <w:sz w:val="44"/>
          <w:szCs w:val="44"/>
        </w:rPr>
        <w:t>表</w:t>
      </w:r>
    </w:p>
    <w:p w:rsidR="00B32044" w:rsidRDefault="00B32044">
      <w:pPr>
        <w:pStyle w:val="a4"/>
        <w:spacing w:before="54"/>
        <w:jc w:val="center"/>
        <w:rPr>
          <w:rFonts w:ascii="Arial Unicode MS" w:eastAsia="Arial Unicode MS" w:hAnsi="Arial Unicode MS" w:cs="Arial Unicode MS"/>
          <w:sz w:val="44"/>
          <w:szCs w:val="44"/>
        </w:rPr>
      </w:pPr>
    </w:p>
    <w:p w:rsidR="00B32044" w:rsidRDefault="002625D2">
      <w:pPr>
        <w:pStyle w:val="a4"/>
        <w:numPr>
          <w:ilvl w:val="0"/>
          <w:numId w:val="1"/>
        </w:numPr>
        <w:spacing w:before="54"/>
        <w:rPr>
          <w:rFonts w:ascii="黑体" w:eastAsia="黑体"/>
        </w:rPr>
      </w:pPr>
      <w:r>
        <w:rPr>
          <w:rFonts w:ascii="黑体" w:eastAsia="黑体" w:hint="eastAsia"/>
        </w:rPr>
        <w:t>财政拨款收支预算表</w:t>
      </w:r>
    </w:p>
    <w:p w:rsidR="00B32044" w:rsidRDefault="002625D2">
      <w:pPr>
        <w:pStyle w:val="a4"/>
        <w:spacing w:before="54"/>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财政拨款收支预算总表</w:t>
      </w:r>
    </w:p>
    <w:p w:rsidR="00B32044" w:rsidRDefault="002625D2">
      <w:pPr>
        <w:pStyle w:val="a4"/>
        <w:spacing w:before="54"/>
        <w:jc w:val="right"/>
        <w:rPr>
          <w:rFonts w:ascii="仿宋_GB2312" w:eastAsia="仿宋_GB2312"/>
        </w:rPr>
      </w:pPr>
      <w:r>
        <w:rPr>
          <w:rFonts w:ascii="仿宋_GB2312" w:eastAsia="仿宋_GB2312" w:hint="eastAsia"/>
        </w:rPr>
        <w:t>单位：</w:t>
      </w:r>
      <w:r>
        <w:rPr>
          <w:rFonts w:ascii="仿宋_GB2312" w:eastAsia="仿宋_GB2312" w:hint="eastAsia"/>
        </w:rPr>
        <w:t xml:space="preserve"> </w:t>
      </w:r>
      <w:r>
        <w:rPr>
          <w:rFonts w:ascii="仿宋_GB2312" w:eastAsia="仿宋_GB2312" w:hint="eastAsia"/>
        </w:rPr>
        <w:t>万元</w:t>
      </w:r>
    </w:p>
    <w:tbl>
      <w:tblPr>
        <w:tblW w:w="4999" w:type="pct"/>
        <w:tblLook w:val="04A0" w:firstRow="1" w:lastRow="0" w:firstColumn="1" w:lastColumn="0" w:noHBand="0" w:noVBand="1"/>
      </w:tblPr>
      <w:tblGrid>
        <w:gridCol w:w="3947"/>
        <w:gridCol w:w="1193"/>
        <w:gridCol w:w="3299"/>
        <w:gridCol w:w="995"/>
        <w:gridCol w:w="2539"/>
        <w:gridCol w:w="2740"/>
      </w:tblGrid>
      <w:tr w:rsidR="00B32044">
        <w:trPr>
          <w:trHeight w:val="360"/>
        </w:trPr>
        <w:tc>
          <w:tcPr>
            <w:tcW w:w="174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收</w:t>
            </w:r>
            <w:r>
              <w:rPr>
                <w:rFonts w:hint="eastAsia"/>
                <w:bCs/>
                <w:color w:val="000000"/>
                <w:sz w:val="18"/>
                <w:szCs w:val="18"/>
                <w:lang w:val="en-US"/>
              </w:rPr>
              <w:t xml:space="preserve">                  </w:t>
            </w:r>
            <w:r>
              <w:rPr>
                <w:rFonts w:hint="eastAsia"/>
                <w:bCs/>
                <w:color w:val="000000"/>
                <w:sz w:val="18"/>
                <w:szCs w:val="18"/>
                <w:lang w:val="en-US"/>
              </w:rPr>
              <w:t>入</w:t>
            </w:r>
          </w:p>
        </w:tc>
        <w:tc>
          <w:tcPr>
            <w:tcW w:w="3253"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支</w:t>
            </w:r>
            <w:r>
              <w:rPr>
                <w:rFonts w:hint="eastAsia"/>
                <w:bCs/>
                <w:color w:val="000000"/>
                <w:sz w:val="18"/>
                <w:szCs w:val="18"/>
                <w:lang w:val="en-US"/>
              </w:rPr>
              <w:t xml:space="preserve">                 </w:t>
            </w:r>
            <w:r>
              <w:rPr>
                <w:rFonts w:hint="eastAsia"/>
                <w:bCs/>
                <w:color w:val="000000"/>
                <w:sz w:val="18"/>
                <w:szCs w:val="18"/>
                <w:lang w:val="en-US"/>
              </w:rPr>
              <w:t>出</w:t>
            </w:r>
          </w:p>
        </w:tc>
      </w:tr>
      <w:tr w:rsidR="00B32044">
        <w:trPr>
          <w:trHeight w:val="420"/>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项</w:t>
            </w:r>
            <w:r>
              <w:rPr>
                <w:rFonts w:hint="eastAsia"/>
                <w:bCs/>
                <w:color w:val="000000"/>
                <w:sz w:val="18"/>
                <w:szCs w:val="18"/>
                <w:lang w:val="en-US"/>
              </w:rPr>
              <w:t xml:space="preserve">             </w:t>
            </w:r>
            <w:r>
              <w:rPr>
                <w:rFonts w:hint="eastAsia"/>
                <w:bCs/>
                <w:color w:val="000000"/>
                <w:sz w:val="18"/>
                <w:szCs w:val="18"/>
                <w:lang w:val="en-US"/>
              </w:rPr>
              <w:t>目</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w:t>
            </w: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项目（按功能分类）</w:t>
            </w:r>
          </w:p>
        </w:tc>
        <w:tc>
          <w:tcPr>
            <w:tcW w:w="2132"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w:t>
            </w: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一、本年收入</w:t>
            </w:r>
          </w:p>
        </w:tc>
        <w:tc>
          <w:tcPr>
            <w:tcW w:w="4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32044" w:rsidRDefault="00B32044">
            <w:pPr>
              <w:jc w:val="right"/>
              <w:rPr>
                <w:bCs/>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一、本年支出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一般公共预算财政拨款支出</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政府性基金预算财政拨款支出</w:t>
            </w: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（一）一般公共预算财政拨款收入</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12463.47</w:t>
            </w: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（一）一般公共服务支出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7822.29</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7822.29</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（二）政府性基金预算财政拨款收入</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（二）外交支出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（三）国防支出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（四）公共安全支出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145.00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145.00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（五）教育支出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（六）科学技术支出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604.65</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604.65</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（七）文化旅游体育与传媒支出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（八）社会保障和就业支出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672.68</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672.68</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（九）社会保险基金支出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（十）卫生健康支出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247.55</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247.55</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（十一）节能环保支出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490.10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490.10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（十二）城乡社区支出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513.00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513.00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（十三）农林水支出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190.00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190.00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（十四）交通运输支出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（十五）资源勘探工业信息等支出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（十六）商业服务业等支出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（十七）金融支出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（十八）援助其他地区支出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（十九）自然资源海洋气象等支出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（二十）住房保障支出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684.00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684.00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（二十一）粮油物资储备支出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（二十二）国有资本经营预算支出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（二十三）灾害防治及应急管理支出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（二十四）预备费</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1094.20</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1094.20</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（二十五）其他支出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（二十六）转移性支出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（二十七）债务还本支出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（二十八）债务付息支出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（二十九）债务发行费用支出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（三十）抗</w:t>
            </w:r>
            <w:proofErr w:type="gramStart"/>
            <w:r>
              <w:rPr>
                <w:rFonts w:hint="eastAsia"/>
                <w:color w:val="000000"/>
                <w:sz w:val="18"/>
                <w:szCs w:val="18"/>
                <w:lang w:val="en-US"/>
              </w:rPr>
              <w:t>疫</w:t>
            </w:r>
            <w:proofErr w:type="gramEnd"/>
            <w:r>
              <w:rPr>
                <w:rFonts w:hint="eastAsia"/>
                <w:color w:val="000000"/>
                <w:sz w:val="18"/>
                <w:szCs w:val="18"/>
                <w:lang w:val="en-US"/>
              </w:rPr>
              <w:t>特别国债安排的支出</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本年收入小计</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本年支出小计</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二、上年结转结余</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二、年末结转结余</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（一）一般公共预算财政拨款</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（一）一般公共预算财政拨款</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（二）政府性基金预算财政拨款</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（二）政府性基金预算财政拨款</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75"/>
        </w:trPr>
        <w:tc>
          <w:tcPr>
            <w:tcW w:w="13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收</w:t>
            </w:r>
            <w:r>
              <w:rPr>
                <w:rFonts w:hint="eastAsia"/>
                <w:b/>
                <w:color w:val="000000"/>
                <w:sz w:val="18"/>
                <w:szCs w:val="18"/>
                <w:lang w:val="en-US"/>
              </w:rPr>
              <w:t xml:space="preserve">  </w:t>
            </w:r>
            <w:r>
              <w:rPr>
                <w:rFonts w:hint="eastAsia"/>
                <w:b/>
                <w:color w:val="000000"/>
                <w:sz w:val="18"/>
                <w:szCs w:val="18"/>
                <w:lang w:val="en-US"/>
              </w:rPr>
              <w:t>入</w:t>
            </w:r>
            <w:r>
              <w:rPr>
                <w:rFonts w:hint="eastAsia"/>
                <w:b/>
                <w:color w:val="000000"/>
                <w:sz w:val="18"/>
                <w:szCs w:val="18"/>
                <w:lang w:val="en-US"/>
              </w:rPr>
              <w:t xml:space="preserve">  </w:t>
            </w:r>
            <w:r>
              <w:rPr>
                <w:rFonts w:hint="eastAsia"/>
                <w:b/>
                <w:color w:val="000000"/>
                <w:sz w:val="18"/>
                <w:szCs w:val="18"/>
                <w:lang w:val="en-US"/>
              </w:rPr>
              <w:t>总</w:t>
            </w:r>
            <w:r>
              <w:rPr>
                <w:rFonts w:hint="eastAsia"/>
                <w:b/>
                <w:color w:val="000000"/>
                <w:sz w:val="18"/>
                <w:szCs w:val="18"/>
                <w:lang w:val="en-US"/>
              </w:rPr>
              <w:t xml:space="preserve">  </w:t>
            </w:r>
            <w:r>
              <w:rPr>
                <w:rFonts w:hint="eastAsia"/>
                <w:b/>
                <w:color w:val="000000"/>
                <w:sz w:val="18"/>
                <w:szCs w:val="18"/>
                <w:lang w:val="en-US"/>
              </w:rPr>
              <w:t>计</w:t>
            </w: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11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支</w:t>
            </w:r>
            <w:r>
              <w:rPr>
                <w:rFonts w:hint="eastAsia"/>
                <w:b/>
                <w:color w:val="000000"/>
                <w:sz w:val="18"/>
                <w:szCs w:val="18"/>
                <w:lang w:val="en-US"/>
              </w:rPr>
              <w:t xml:space="preserve">  </w:t>
            </w:r>
            <w:r>
              <w:rPr>
                <w:rFonts w:hint="eastAsia"/>
                <w:b/>
                <w:color w:val="000000"/>
                <w:sz w:val="18"/>
                <w:szCs w:val="18"/>
                <w:lang w:val="en-US"/>
              </w:rPr>
              <w:t>出</w:t>
            </w:r>
            <w:r>
              <w:rPr>
                <w:rFonts w:hint="eastAsia"/>
                <w:b/>
                <w:color w:val="000000"/>
                <w:sz w:val="18"/>
                <w:szCs w:val="18"/>
                <w:lang w:val="en-US"/>
              </w:rPr>
              <w:t xml:space="preserve">  </w:t>
            </w:r>
            <w:r>
              <w:rPr>
                <w:rFonts w:hint="eastAsia"/>
                <w:b/>
                <w:color w:val="000000"/>
                <w:sz w:val="18"/>
                <w:szCs w:val="18"/>
                <w:lang w:val="en-US"/>
              </w:rPr>
              <w:t>总</w:t>
            </w:r>
            <w:r>
              <w:rPr>
                <w:rFonts w:hint="eastAsia"/>
                <w:b/>
                <w:color w:val="000000"/>
                <w:sz w:val="18"/>
                <w:szCs w:val="18"/>
                <w:lang w:val="en-US"/>
              </w:rPr>
              <w:t xml:space="preserve">  </w:t>
            </w:r>
            <w:r>
              <w:rPr>
                <w:rFonts w:hint="eastAsia"/>
                <w:b/>
                <w:color w:val="000000"/>
                <w:sz w:val="18"/>
                <w:szCs w:val="18"/>
                <w:lang w:val="en-US"/>
              </w:rPr>
              <w:t>计</w:t>
            </w:r>
          </w:p>
        </w:tc>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8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12463.47</w:t>
            </w:r>
          </w:p>
        </w:tc>
        <w:tc>
          <w:tcPr>
            <w:tcW w:w="9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bl>
    <w:p w:rsidR="00B32044" w:rsidRDefault="00B32044">
      <w:pPr>
        <w:pStyle w:val="a4"/>
        <w:spacing w:before="54"/>
        <w:jc w:val="both"/>
        <w:rPr>
          <w:rFonts w:ascii="仿宋_GB2312" w:eastAsia="仿宋_GB2312"/>
        </w:rPr>
      </w:pPr>
    </w:p>
    <w:p w:rsidR="00B32044" w:rsidRDefault="00B32044">
      <w:pPr>
        <w:pStyle w:val="a4"/>
        <w:spacing w:before="54"/>
        <w:rPr>
          <w:rFonts w:ascii="仿宋_GB2312" w:eastAsia="仿宋_GB2312"/>
        </w:rPr>
      </w:pPr>
    </w:p>
    <w:p w:rsidR="00B32044" w:rsidRDefault="00B32044">
      <w:pPr>
        <w:pStyle w:val="a4"/>
        <w:spacing w:before="54"/>
        <w:rPr>
          <w:rFonts w:ascii="仿宋_GB2312" w:eastAsia="仿宋_GB2312"/>
        </w:rPr>
      </w:pPr>
    </w:p>
    <w:p w:rsidR="00B32044" w:rsidRDefault="002625D2">
      <w:pPr>
        <w:pStyle w:val="a4"/>
        <w:numPr>
          <w:ilvl w:val="0"/>
          <w:numId w:val="1"/>
        </w:numPr>
        <w:spacing w:before="54"/>
        <w:rPr>
          <w:rFonts w:ascii="黑体" w:eastAsia="黑体"/>
        </w:rPr>
      </w:pPr>
      <w:r>
        <w:rPr>
          <w:rFonts w:ascii="黑体" w:eastAsia="黑体" w:hint="eastAsia"/>
        </w:rPr>
        <w:t>一般公共预算财政拨款支出预算表</w:t>
      </w:r>
    </w:p>
    <w:p w:rsidR="00B32044" w:rsidRDefault="00B32044">
      <w:pPr>
        <w:pStyle w:val="a4"/>
        <w:spacing w:before="54"/>
        <w:jc w:val="center"/>
        <w:rPr>
          <w:rFonts w:ascii="仿宋_GB2312" w:eastAsia="仿宋_GB2312" w:hAnsi="仿宋_GB2312" w:cs="仿宋_GB2312"/>
          <w:b/>
          <w:bCs/>
          <w:sz w:val="36"/>
          <w:szCs w:val="36"/>
        </w:rPr>
      </w:pPr>
    </w:p>
    <w:p w:rsidR="00B32044" w:rsidRDefault="002625D2">
      <w:pPr>
        <w:pStyle w:val="a4"/>
        <w:spacing w:before="54"/>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一般公共预算财政拨款支出预算表</w:t>
      </w:r>
    </w:p>
    <w:p w:rsidR="00B32044" w:rsidRDefault="002625D2">
      <w:pPr>
        <w:pStyle w:val="a4"/>
        <w:spacing w:before="100"/>
        <w:ind w:right="410"/>
        <w:jc w:val="right"/>
        <w:rPr>
          <w:rFonts w:ascii="仿宋_GB2312" w:eastAsia="仿宋_GB2312"/>
        </w:rPr>
      </w:pPr>
      <w:r>
        <w:rPr>
          <w:rFonts w:ascii="仿宋_GB2312" w:eastAsia="仿宋_GB2312" w:hint="eastAsia"/>
        </w:rPr>
        <w:t>单位：</w:t>
      </w:r>
      <w:r>
        <w:rPr>
          <w:rFonts w:ascii="仿宋_GB2312" w:eastAsia="仿宋_GB2312" w:hint="eastAsia"/>
        </w:rPr>
        <w:t xml:space="preserve"> </w:t>
      </w:r>
      <w:r>
        <w:rPr>
          <w:rFonts w:ascii="仿宋_GB2312" w:eastAsia="仿宋_GB2312" w:hint="eastAsia"/>
        </w:rPr>
        <w:t>万元</w:t>
      </w:r>
    </w:p>
    <w:tbl>
      <w:tblPr>
        <w:tblW w:w="4999" w:type="pct"/>
        <w:tblLook w:val="04A0" w:firstRow="1" w:lastRow="0" w:firstColumn="1" w:lastColumn="0" w:noHBand="0" w:noVBand="1"/>
      </w:tblPr>
      <w:tblGrid>
        <w:gridCol w:w="1272"/>
        <w:gridCol w:w="5898"/>
        <w:gridCol w:w="1222"/>
        <w:gridCol w:w="1207"/>
        <w:gridCol w:w="1339"/>
        <w:gridCol w:w="1342"/>
        <w:gridCol w:w="1153"/>
        <w:gridCol w:w="1280"/>
      </w:tblGrid>
      <w:tr w:rsidR="00B32044">
        <w:trPr>
          <w:trHeight w:val="495"/>
        </w:trPr>
        <w:tc>
          <w:tcPr>
            <w:tcW w:w="243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功能分类科目</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上年执行数（决算数）</w:t>
            </w:r>
          </w:p>
        </w:tc>
        <w:tc>
          <w:tcPr>
            <w:tcW w:w="132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预算数</w:t>
            </w: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预算数与执行数（决算数）</w:t>
            </w:r>
          </w:p>
        </w:tc>
      </w:tr>
      <w:tr w:rsidR="00B32044">
        <w:trPr>
          <w:trHeight w:val="49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科目编码</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科目名称</w:t>
            </w: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总计</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基本支出</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项目支出</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增减额</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
                <w:color w:val="000000"/>
                <w:sz w:val="18"/>
                <w:szCs w:val="18"/>
              </w:rPr>
            </w:pPr>
            <w:r>
              <w:rPr>
                <w:rFonts w:hint="eastAsia"/>
                <w:b/>
                <w:color w:val="000000"/>
                <w:sz w:val="18"/>
                <w:szCs w:val="18"/>
                <w:lang w:val="en-US"/>
              </w:rPr>
              <w:t>增减</w:t>
            </w:r>
            <w:r>
              <w:rPr>
                <w:rFonts w:hint="eastAsia"/>
                <w:b/>
                <w:color w:val="000000"/>
                <w:sz w:val="18"/>
                <w:szCs w:val="18"/>
                <w:lang w:val="en-US"/>
              </w:rPr>
              <w:t>%</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18"/>
                <w:szCs w:val="18"/>
              </w:rPr>
            </w:pPr>
          </w:p>
        </w:tc>
        <w:tc>
          <w:tcPr>
            <w:tcW w:w="2002" w:type="pct"/>
            <w:tcBorders>
              <w:top w:val="single" w:sz="4" w:space="0" w:color="000000"/>
              <w:left w:val="single" w:sz="4" w:space="0" w:color="000000"/>
              <w:bottom w:val="nil"/>
              <w:right w:val="single" w:sz="4" w:space="0" w:color="000000"/>
            </w:tcBorders>
            <w:shd w:val="clear" w:color="auto" w:fill="auto"/>
            <w:vAlign w:val="center"/>
          </w:tcPr>
          <w:p w:rsidR="00B32044" w:rsidRDefault="002625D2">
            <w:pPr>
              <w:widowControl/>
              <w:textAlignment w:val="center"/>
              <w:rPr>
                <w:b/>
                <w:color w:val="000000"/>
                <w:sz w:val="18"/>
                <w:szCs w:val="18"/>
              </w:rPr>
            </w:pPr>
            <w:r>
              <w:rPr>
                <w:rFonts w:hint="eastAsia"/>
                <w:b/>
                <w:color w:val="000000"/>
                <w:sz w:val="18"/>
                <w:szCs w:val="18"/>
                <w:lang w:val="en-US"/>
              </w:rPr>
              <w:t>合计</w:t>
            </w:r>
          </w:p>
        </w:tc>
        <w:tc>
          <w:tcPr>
            <w:tcW w:w="415"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62728.2</w:t>
            </w:r>
          </w:p>
        </w:tc>
        <w:tc>
          <w:tcPr>
            <w:tcW w:w="410"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c>
          <w:tcPr>
            <w:tcW w:w="455"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4554.5</w:t>
            </w:r>
          </w:p>
        </w:tc>
        <w:tc>
          <w:tcPr>
            <w:tcW w:w="456"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8380.0</w:t>
            </w:r>
          </w:p>
        </w:tc>
        <w:tc>
          <w:tcPr>
            <w:tcW w:w="392"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457.1</w:t>
            </w:r>
          </w:p>
        </w:tc>
        <w:tc>
          <w:tcPr>
            <w:tcW w:w="434"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-80.13%</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宁夏宁东能源化工基地管理委员会办公室（审计办）本级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3352.4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1728.2</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77.2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1651.0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1728.2</w:t>
            </w:r>
          </w:p>
        </w:tc>
        <w:tc>
          <w:tcPr>
            <w:tcW w:w="434" w:type="pct"/>
            <w:tcBorders>
              <w:top w:val="single" w:sz="4" w:space="0" w:color="000000"/>
              <w:left w:val="single" w:sz="4" w:space="0" w:color="000000"/>
              <w:bottom w:val="nil"/>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-48.45%</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1492.2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nil"/>
              <w:right w:val="single" w:sz="4" w:space="0" w:color="000000"/>
            </w:tcBorders>
            <w:shd w:val="clear" w:color="auto" w:fill="auto"/>
            <w:noWrap/>
            <w:vAlign w:val="center"/>
          </w:tcPr>
          <w:p w:rsidR="00B32044" w:rsidRDefault="00B32044">
            <w:pPr>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1549.8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45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其他政府办公厅（室）及相关机构事务支出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2010804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审计事务</w:t>
            </w:r>
            <w:r>
              <w:rPr>
                <w:rFonts w:hint="eastAsia"/>
                <w:color w:val="000000"/>
                <w:sz w:val="18"/>
                <w:szCs w:val="18"/>
                <w:lang w:val="en-US"/>
              </w:rPr>
              <w:t>-</w:t>
            </w:r>
            <w:r>
              <w:rPr>
                <w:rFonts w:hint="eastAsia"/>
                <w:color w:val="000000"/>
                <w:sz w:val="18"/>
                <w:szCs w:val="18"/>
                <w:lang w:val="en-US"/>
              </w:rPr>
              <w:t>审计业务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2013102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党委办公厅（室）及相关机构事务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1612.2</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41.2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1571.0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1612.2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2019999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其他一般公共服务支出</w:t>
            </w:r>
            <w:r>
              <w:rPr>
                <w:rFonts w:hint="eastAsia"/>
                <w:color w:val="000000"/>
                <w:sz w:val="18"/>
                <w:szCs w:val="18"/>
                <w:lang w:val="en-US"/>
              </w:rPr>
              <w:t>-</w:t>
            </w:r>
            <w:r>
              <w:rPr>
                <w:rFonts w:hint="eastAsia"/>
                <w:color w:val="000000"/>
                <w:sz w:val="18"/>
                <w:szCs w:val="18"/>
                <w:lang w:val="en-US"/>
              </w:rPr>
              <w:t>其他一般公共服务支出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36.0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36.0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36.0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2040602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公共安全支出</w:t>
            </w:r>
            <w:r>
              <w:rPr>
                <w:rFonts w:hint="eastAsia"/>
                <w:color w:val="000000"/>
                <w:sz w:val="18"/>
                <w:szCs w:val="18"/>
                <w:lang w:val="en-US"/>
              </w:rPr>
              <w:t>-</w:t>
            </w:r>
            <w:r>
              <w:rPr>
                <w:rFonts w:hint="eastAsia"/>
                <w:color w:val="000000"/>
                <w:sz w:val="18"/>
                <w:szCs w:val="18"/>
                <w:lang w:val="en-US"/>
              </w:rPr>
              <w:t>司法</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45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2080199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人力资源和社会保障管理事务</w:t>
            </w:r>
            <w:r>
              <w:rPr>
                <w:rFonts w:hint="eastAsia"/>
                <w:color w:val="000000"/>
                <w:sz w:val="18"/>
                <w:szCs w:val="18"/>
                <w:lang w:val="en-US"/>
              </w:rPr>
              <w:t>-</w:t>
            </w:r>
            <w:r>
              <w:rPr>
                <w:rFonts w:hint="eastAsia"/>
                <w:color w:val="000000"/>
                <w:sz w:val="18"/>
                <w:szCs w:val="18"/>
                <w:lang w:val="en-US"/>
              </w:rPr>
              <w:t>其他人力资源和社会保障管理事务支出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33.3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2080501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行政单位离退休</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2100409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重大公共卫生服务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其他公共卫生支出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2210201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住房保障支出</w:t>
            </w:r>
            <w:r>
              <w:rPr>
                <w:rFonts w:hint="eastAsia"/>
                <w:color w:val="000000"/>
                <w:sz w:val="18"/>
                <w:szCs w:val="18"/>
                <w:lang w:val="en-US"/>
              </w:rPr>
              <w:t>-</w:t>
            </w:r>
            <w:r>
              <w:rPr>
                <w:rFonts w:hint="eastAsia"/>
                <w:color w:val="000000"/>
                <w:sz w:val="18"/>
                <w:szCs w:val="18"/>
                <w:lang w:val="en-US"/>
              </w:rPr>
              <w:t>住房改革支出</w:t>
            </w:r>
            <w:r>
              <w:rPr>
                <w:rFonts w:hint="eastAsia"/>
                <w:color w:val="000000"/>
                <w:sz w:val="18"/>
                <w:szCs w:val="18"/>
                <w:lang w:val="en-US"/>
              </w:rPr>
              <w:t>-</w:t>
            </w:r>
            <w:r>
              <w:rPr>
                <w:rFonts w:hint="eastAsia"/>
                <w:color w:val="000000"/>
                <w:sz w:val="18"/>
                <w:szCs w:val="18"/>
                <w:lang w:val="en-US"/>
              </w:rPr>
              <w:t>住房公积金</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6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宁夏宁东能源化工基地管理委员会党群工作部（机关党委）本级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421.4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560.3</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549.0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138.9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32.97%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2012902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群众团体事务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0.7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212.50%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2012906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群众团体事务</w:t>
            </w:r>
            <w:r>
              <w:rPr>
                <w:rFonts w:hint="eastAsia"/>
                <w:color w:val="000000"/>
                <w:sz w:val="18"/>
                <w:szCs w:val="18"/>
                <w:lang w:val="en-US"/>
              </w:rPr>
              <w:t>-</w:t>
            </w:r>
            <w:r>
              <w:rPr>
                <w:rFonts w:hint="eastAsia"/>
                <w:color w:val="000000"/>
                <w:sz w:val="18"/>
                <w:szCs w:val="18"/>
                <w:lang w:val="en-US"/>
              </w:rPr>
              <w:t>工会事务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28.0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-28.0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-100.00%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2013101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党委办公厅（室）及相关机构事务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11.3</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11.3</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78.80%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lastRenderedPageBreak/>
              <w:t>2013105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党委办公厅（室）及相关机构事务</w:t>
            </w:r>
            <w:r>
              <w:rPr>
                <w:rFonts w:hint="eastAsia"/>
                <w:color w:val="000000"/>
                <w:sz w:val="18"/>
                <w:szCs w:val="18"/>
                <w:lang w:val="en-US"/>
              </w:rPr>
              <w:t>-</w:t>
            </w:r>
            <w:r>
              <w:rPr>
                <w:rFonts w:hint="eastAsia"/>
                <w:color w:val="000000"/>
                <w:sz w:val="18"/>
                <w:szCs w:val="18"/>
                <w:lang w:val="en-US"/>
              </w:rPr>
              <w:t>专项业务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386.7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548.0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548.0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161.3</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41.70%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103</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宁夏宁东能源化工基地管理委员会经济发展局（统计局）本级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11228.9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1001.5</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1111.0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-72.8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-0.65%</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其他政府办公厅（室）及相关机构事务支出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545.0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11.5</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11.5</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0.8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7.08%</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815.8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640.0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640.0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-175.8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-21.55%</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社会事业发展规划</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236.5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250.0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250.0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13.5</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5.69%</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其他发展与改革事务支出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51.3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2010505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统计信息事务</w:t>
            </w:r>
            <w:r>
              <w:rPr>
                <w:rFonts w:hint="eastAsia"/>
                <w:color w:val="000000"/>
                <w:sz w:val="18"/>
                <w:szCs w:val="18"/>
                <w:lang w:val="en-US"/>
              </w:rPr>
              <w:t>-</w:t>
            </w:r>
            <w:r>
              <w:rPr>
                <w:rFonts w:hint="eastAsia"/>
                <w:color w:val="000000"/>
                <w:sz w:val="18"/>
                <w:szCs w:val="18"/>
                <w:lang w:val="en-US"/>
              </w:rPr>
              <w:t>专项统计业务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88.7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784.96%</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2100410</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突发公共卫生事件应急处理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1341.6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2111103</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污染减排</w:t>
            </w:r>
            <w:r>
              <w:rPr>
                <w:rFonts w:hint="eastAsia"/>
                <w:color w:val="000000"/>
                <w:sz w:val="18"/>
                <w:szCs w:val="18"/>
                <w:lang w:val="en-US"/>
              </w:rPr>
              <w:t>-</w:t>
            </w:r>
            <w:r>
              <w:rPr>
                <w:rFonts w:hint="eastAsia"/>
                <w:color w:val="000000"/>
                <w:sz w:val="18"/>
                <w:szCs w:val="18"/>
                <w:lang w:val="en-US"/>
              </w:rPr>
              <w:t>减排专项支出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2150517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资源勘探工业信息等支出</w:t>
            </w:r>
            <w:r>
              <w:rPr>
                <w:rFonts w:hint="eastAsia"/>
                <w:color w:val="000000"/>
                <w:sz w:val="18"/>
                <w:szCs w:val="18"/>
                <w:lang w:val="en-US"/>
              </w:rPr>
              <w:t>-</w:t>
            </w:r>
            <w:r>
              <w:rPr>
                <w:rFonts w:hint="eastAsia"/>
                <w:color w:val="000000"/>
                <w:sz w:val="18"/>
                <w:szCs w:val="18"/>
                <w:lang w:val="en-US"/>
              </w:rPr>
              <w:t>工业和信息产业监管</w:t>
            </w:r>
            <w:r>
              <w:rPr>
                <w:rFonts w:hint="eastAsia"/>
                <w:color w:val="000000"/>
                <w:sz w:val="18"/>
                <w:szCs w:val="18"/>
                <w:lang w:val="en-US"/>
              </w:rPr>
              <w:t>-</w:t>
            </w:r>
            <w:r>
              <w:rPr>
                <w:rFonts w:hint="eastAsia"/>
                <w:color w:val="000000"/>
                <w:sz w:val="18"/>
                <w:szCs w:val="18"/>
                <w:lang w:val="en-US"/>
              </w:rPr>
              <w:t>产业发展</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298.2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2150899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资源勘探工业信息等支出</w:t>
            </w:r>
            <w:r>
              <w:rPr>
                <w:rFonts w:hint="eastAsia"/>
                <w:color w:val="000000"/>
                <w:sz w:val="18"/>
                <w:szCs w:val="18"/>
                <w:lang w:val="en-US"/>
              </w:rPr>
              <w:t>-</w:t>
            </w:r>
            <w:r>
              <w:rPr>
                <w:rFonts w:hint="eastAsia"/>
                <w:color w:val="000000"/>
                <w:sz w:val="18"/>
                <w:szCs w:val="18"/>
                <w:lang w:val="en-US"/>
              </w:rPr>
              <w:t>支持中小企业发展和管理支出</w:t>
            </w:r>
            <w:r>
              <w:rPr>
                <w:rFonts w:hint="eastAsia"/>
                <w:color w:val="000000"/>
                <w:sz w:val="18"/>
                <w:szCs w:val="18"/>
                <w:lang w:val="en-US"/>
              </w:rPr>
              <w:t>-</w:t>
            </w:r>
            <w:r>
              <w:rPr>
                <w:rFonts w:hint="eastAsia"/>
                <w:color w:val="000000"/>
                <w:sz w:val="18"/>
                <w:szCs w:val="18"/>
                <w:lang w:val="en-US"/>
              </w:rPr>
              <w:t>其他支持中小企业发展和管理支出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7868.5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2299999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其他支出</w:t>
            </w:r>
            <w:r>
              <w:rPr>
                <w:rFonts w:hint="eastAsia"/>
                <w:color w:val="000000"/>
                <w:sz w:val="18"/>
                <w:szCs w:val="18"/>
                <w:lang w:val="en-US"/>
              </w:rPr>
              <w:t>-</w:t>
            </w:r>
            <w:r>
              <w:rPr>
                <w:rFonts w:hint="eastAsia"/>
                <w:color w:val="000000"/>
                <w:sz w:val="18"/>
                <w:szCs w:val="18"/>
                <w:lang w:val="en-US"/>
              </w:rPr>
              <w:t>其他支出</w:t>
            </w:r>
            <w:r>
              <w:rPr>
                <w:rFonts w:hint="eastAsia"/>
                <w:color w:val="000000"/>
                <w:sz w:val="18"/>
                <w:szCs w:val="18"/>
                <w:lang w:val="en-US"/>
              </w:rPr>
              <w:t>-</w:t>
            </w:r>
            <w:r>
              <w:rPr>
                <w:rFonts w:hint="eastAsia"/>
                <w:color w:val="000000"/>
                <w:sz w:val="18"/>
                <w:szCs w:val="18"/>
                <w:lang w:val="en-US"/>
              </w:rPr>
              <w:t>其他支出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27.0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宁夏宁东能源化工基地管理委员会建设和交通局本级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21072.2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478.8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466.0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61.1</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0.29%</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36.5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水体</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663.0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13.7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-0.9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-6.30%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27.9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22.1</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79.41%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工程建设管理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81.1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市政公用行业市场监管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其他城乡社区管理事务支出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281.9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166.0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166.0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-115.9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-41.11%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城乡社区规划与管理</w:t>
            </w:r>
            <w:r>
              <w:rPr>
                <w:rFonts w:hint="eastAsia"/>
                <w:color w:val="000000"/>
                <w:sz w:val="18"/>
                <w:szCs w:val="18"/>
                <w:lang w:val="en-US"/>
              </w:rPr>
              <w:t>-</w:t>
            </w:r>
            <w:r>
              <w:rPr>
                <w:rFonts w:hint="eastAsia"/>
                <w:color w:val="000000"/>
                <w:sz w:val="18"/>
                <w:szCs w:val="18"/>
                <w:lang w:val="en-US"/>
              </w:rPr>
              <w:t>城乡社区规划与管理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83.3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城乡社区公共设施</w:t>
            </w:r>
            <w:r>
              <w:rPr>
                <w:rFonts w:hint="eastAsia"/>
                <w:color w:val="000000"/>
                <w:sz w:val="18"/>
                <w:szCs w:val="18"/>
                <w:lang w:val="en-US"/>
              </w:rPr>
              <w:t>-</w:t>
            </w:r>
            <w:r>
              <w:rPr>
                <w:rFonts w:hint="eastAsia"/>
                <w:color w:val="000000"/>
                <w:sz w:val="18"/>
                <w:szCs w:val="18"/>
                <w:lang w:val="en-US"/>
              </w:rPr>
              <w:t>其他城乡社区公共设施支出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11385.3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2120501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城乡社区环境卫生</w:t>
            </w:r>
            <w:r>
              <w:rPr>
                <w:rFonts w:hint="eastAsia"/>
                <w:color w:val="000000"/>
                <w:sz w:val="18"/>
                <w:szCs w:val="18"/>
                <w:lang w:val="en-US"/>
              </w:rPr>
              <w:t>-</w:t>
            </w:r>
            <w:r>
              <w:rPr>
                <w:rFonts w:hint="eastAsia"/>
                <w:color w:val="000000"/>
                <w:sz w:val="18"/>
                <w:szCs w:val="18"/>
                <w:lang w:val="en-US"/>
              </w:rPr>
              <w:t>城乡社区环境卫生</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1924.5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其他城乡社区支出</w:t>
            </w:r>
            <w:r>
              <w:rPr>
                <w:rFonts w:hint="eastAsia"/>
                <w:color w:val="000000"/>
                <w:sz w:val="18"/>
                <w:szCs w:val="18"/>
                <w:lang w:val="en-US"/>
              </w:rPr>
              <w:t>-</w:t>
            </w:r>
            <w:r>
              <w:rPr>
                <w:rFonts w:hint="eastAsia"/>
                <w:color w:val="000000"/>
                <w:sz w:val="18"/>
                <w:szCs w:val="18"/>
                <w:lang w:val="en-US"/>
              </w:rPr>
              <w:t>其他城乡社区支出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2140106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交通运输支出</w:t>
            </w:r>
            <w:r>
              <w:rPr>
                <w:rFonts w:hint="eastAsia"/>
                <w:color w:val="000000"/>
                <w:sz w:val="18"/>
                <w:szCs w:val="18"/>
                <w:lang w:val="en-US"/>
              </w:rPr>
              <w:t>-</w:t>
            </w:r>
            <w:r>
              <w:rPr>
                <w:rFonts w:hint="eastAsia"/>
                <w:color w:val="000000"/>
                <w:sz w:val="18"/>
                <w:szCs w:val="18"/>
                <w:lang w:val="en-US"/>
              </w:rPr>
              <w:t>公路水路运输</w:t>
            </w:r>
            <w:r>
              <w:rPr>
                <w:rFonts w:hint="eastAsia"/>
                <w:color w:val="000000"/>
                <w:sz w:val="18"/>
                <w:szCs w:val="18"/>
                <w:lang w:val="en-US"/>
              </w:rPr>
              <w:t>-</w:t>
            </w:r>
            <w:r>
              <w:rPr>
                <w:rFonts w:hint="eastAsia"/>
                <w:color w:val="000000"/>
                <w:sz w:val="18"/>
                <w:szCs w:val="18"/>
                <w:lang w:val="en-US"/>
              </w:rPr>
              <w:t>公路养护</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83.0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2149901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交通运输支出</w:t>
            </w:r>
            <w:r>
              <w:rPr>
                <w:rFonts w:hint="eastAsia"/>
                <w:color w:val="000000"/>
                <w:sz w:val="18"/>
                <w:szCs w:val="18"/>
                <w:lang w:val="en-US"/>
              </w:rPr>
              <w:t>-</w:t>
            </w:r>
            <w:r>
              <w:rPr>
                <w:rFonts w:hint="eastAsia"/>
                <w:color w:val="000000"/>
                <w:sz w:val="18"/>
                <w:szCs w:val="18"/>
                <w:lang w:val="en-US"/>
              </w:rPr>
              <w:t>其他交通运输支出</w:t>
            </w:r>
            <w:r>
              <w:rPr>
                <w:rFonts w:hint="eastAsia"/>
                <w:color w:val="000000"/>
                <w:sz w:val="18"/>
                <w:szCs w:val="18"/>
                <w:lang w:val="en-US"/>
              </w:rPr>
              <w:t>-</w:t>
            </w:r>
            <w:r>
              <w:rPr>
                <w:rFonts w:hint="eastAsia"/>
                <w:color w:val="000000"/>
                <w:sz w:val="18"/>
                <w:szCs w:val="18"/>
                <w:lang w:val="en-US"/>
              </w:rPr>
              <w:t>公共交通运营补助</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380.0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2150899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资源勘探工业信息等支出</w:t>
            </w:r>
            <w:r>
              <w:rPr>
                <w:rFonts w:hint="eastAsia"/>
                <w:color w:val="000000"/>
                <w:sz w:val="18"/>
                <w:szCs w:val="18"/>
                <w:lang w:val="en-US"/>
              </w:rPr>
              <w:t>-</w:t>
            </w:r>
            <w:r>
              <w:rPr>
                <w:rFonts w:hint="eastAsia"/>
                <w:color w:val="000000"/>
                <w:sz w:val="18"/>
                <w:szCs w:val="18"/>
                <w:lang w:val="en-US"/>
              </w:rPr>
              <w:t>支持中小企业发展和管理支出</w:t>
            </w:r>
            <w:r>
              <w:rPr>
                <w:rFonts w:hint="eastAsia"/>
                <w:color w:val="000000"/>
                <w:sz w:val="18"/>
                <w:szCs w:val="18"/>
                <w:lang w:val="en-US"/>
              </w:rPr>
              <w:t>-</w:t>
            </w:r>
            <w:r>
              <w:rPr>
                <w:rFonts w:hint="eastAsia"/>
                <w:color w:val="000000"/>
                <w:sz w:val="18"/>
                <w:szCs w:val="18"/>
                <w:lang w:val="en-US"/>
              </w:rPr>
              <w:t>其他支持中小企业发展和管理支出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2200109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自然资源海洋气象等支出</w:t>
            </w:r>
            <w:r>
              <w:rPr>
                <w:rFonts w:hint="eastAsia"/>
                <w:color w:val="000000"/>
                <w:sz w:val="18"/>
                <w:szCs w:val="18"/>
                <w:lang w:val="en-US"/>
              </w:rPr>
              <w:t>-</w:t>
            </w:r>
            <w:r>
              <w:rPr>
                <w:rFonts w:hint="eastAsia"/>
                <w:color w:val="000000"/>
                <w:sz w:val="18"/>
                <w:szCs w:val="18"/>
                <w:lang w:val="en-US"/>
              </w:rPr>
              <w:t>自然资源事务</w:t>
            </w:r>
            <w:r>
              <w:rPr>
                <w:rFonts w:hint="eastAsia"/>
                <w:color w:val="000000"/>
                <w:sz w:val="18"/>
                <w:szCs w:val="18"/>
                <w:lang w:val="en-US"/>
              </w:rPr>
              <w:t>-</w:t>
            </w:r>
            <w:r>
              <w:rPr>
                <w:rFonts w:hint="eastAsia"/>
                <w:color w:val="000000"/>
                <w:sz w:val="18"/>
                <w:szCs w:val="18"/>
                <w:lang w:val="en-US"/>
              </w:rPr>
              <w:t>自然资源调查与确权登记</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lastRenderedPageBreak/>
              <w:t>2200199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自然资源海洋气象等支出</w:t>
            </w:r>
            <w:r>
              <w:rPr>
                <w:rFonts w:hint="eastAsia"/>
                <w:color w:val="000000"/>
                <w:sz w:val="18"/>
                <w:szCs w:val="18"/>
                <w:lang w:val="en-US"/>
              </w:rPr>
              <w:t>-</w:t>
            </w:r>
            <w:r>
              <w:rPr>
                <w:rFonts w:hint="eastAsia"/>
                <w:color w:val="000000"/>
                <w:sz w:val="18"/>
                <w:szCs w:val="18"/>
                <w:lang w:val="en-US"/>
              </w:rPr>
              <w:t>自然资源事务</w:t>
            </w:r>
            <w:r>
              <w:rPr>
                <w:rFonts w:hint="eastAsia"/>
                <w:color w:val="000000"/>
                <w:sz w:val="18"/>
                <w:szCs w:val="18"/>
                <w:lang w:val="en-US"/>
              </w:rPr>
              <w:t>-</w:t>
            </w:r>
            <w:r>
              <w:rPr>
                <w:rFonts w:hint="eastAsia"/>
                <w:color w:val="000000"/>
                <w:sz w:val="18"/>
                <w:szCs w:val="18"/>
                <w:lang w:val="en-US"/>
              </w:rPr>
              <w:t>其他自然资源事务支出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2210103</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住房保障支出</w:t>
            </w:r>
            <w:r>
              <w:rPr>
                <w:rFonts w:hint="eastAsia"/>
                <w:color w:val="000000"/>
                <w:sz w:val="18"/>
                <w:szCs w:val="18"/>
                <w:lang w:val="en-US"/>
              </w:rPr>
              <w:t>-</w:t>
            </w:r>
            <w:r>
              <w:rPr>
                <w:rFonts w:hint="eastAsia"/>
                <w:color w:val="000000"/>
                <w:sz w:val="18"/>
                <w:szCs w:val="18"/>
                <w:lang w:val="en-US"/>
              </w:rPr>
              <w:t>保障性安居工程支出</w:t>
            </w:r>
            <w:r>
              <w:rPr>
                <w:rFonts w:hint="eastAsia"/>
                <w:color w:val="000000"/>
                <w:sz w:val="18"/>
                <w:szCs w:val="18"/>
                <w:lang w:val="en-US"/>
              </w:rPr>
              <w:t>-</w:t>
            </w:r>
            <w:r>
              <w:rPr>
                <w:rFonts w:hint="eastAsia"/>
                <w:color w:val="000000"/>
                <w:sz w:val="18"/>
                <w:szCs w:val="18"/>
                <w:lang w:val="en-US"/>
              </w:rPr>
              <w:t>棚户区改造</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4052.8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2210107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住房保障支出</w:t>
            </w:r>
            <w:r>
              <w:rPr>
                <w:rFonts w:hint="eastAsia"/>
                <w:color w:val="000000"/>
                <w:sz w:val="18"/>
                <w:szCs w:val="18"/>
                <w:lang w:val="en-US"/>
              </w:rPr>
              <w:t>-</w:t>
            </w:r>
            <w:r>
              <w:rPr>
                <w:rFonts w:hint="eastAsia"/>
                <w:color w:val="000000"/>
                <w:sz w:val="18"/>
                <w:szCs w:val="18"/>
                <w:lang w:val="en-US"/>
              </w:rPr>
              <w:t>保障性安居工程支出</w:t>
            </w:r>
            <w:r>
              <w:rPr>
                <w:rFonts w:hint="eastAsia"/>
                <w:color w:val="000000"/>
                <w:sz w:val="18"/>
                <w:szCs w:val="18"/>
                <w:lang w:val="en-US"/>
              </w:rPr>
              <w:t>-</w:t>
            </w:r>
            <w:r>
              <w:rPr>
                <w:rFonts w:hint="eastAsia"/>
                <w:color w:val="000000"/>
                <w:sz w:val="18"/>
                <w:szCs w:val="18"/>
                <w:lang w:val="en-US"/>
              </w:rPr>
              <w:t>保障性住房租金补贴</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2240299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消防救援事务</w:t>
            </w:r>
            <w:r>
              <w:rPr>
                <w:rFonts w:hint="eastAsia"/>
                <w:color w:val="000000"/>
                <w:sz w:val="18"/>
                <w:szCs w:val="18"/>
                <w:lang w:val="en-US"/>
              </w:rPr>
              <w:t>-</w:t>
            </w:r>
            <w:r>
              <w:rPr>
                <w:rFonts w:hint="eastAsia"/>
                <w:color w:val="000000"/>
                <w:sz w:val="18"/>
                <w:szCs w:val="18"/>
                <w:lang w:val="en-US"/>
              </w:rPr>
              <w:t>其他消防救援事务支出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94.3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55.7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59.07%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宁夏宁东能源化工基地管理委员会社会事务局本级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2434.8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679.4</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671.0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525.4</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21.58%</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其他政府办公厅（室）及相关机构事务支出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2012304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民族事务</w:t>
            </w:r>
            <w:r>
              <w:rPr>
                <w:rFonts w:hint="eastAsia"/>
                <w:color w:val="000000"/>
                <w:sz w:val="18"/>
                <w:szCs w:val="18"/>
                <w:lang w:val="en-US"/>
              </w:rPr>
              <w:t>-</w:t>
            </w:r>
            <w:r>
              <w:rPr>
                <w:rFonts w:hint="eastAsia"/>
                <w:color w:val="000000"/>
                <w:sz w:val="18"/>
                <w:szCs w:val="18"/>
                <w:lang w:val="en-US"/>
              </w:rPr>
              <w:t>民族工作专项</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2013404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统战事务</w:t>
            </w:r>
            <w:r>
              <w:rPr>
                <w:rFonts w:hint="eastAsia"/>
                <w:color w:val="000000"/>
                <w:sz w:val="18"/>
                <w:szCs w:val="18"/>
                <w:lang w:val="en-US"/>
              </w:rPr>
              <w:t>-</w:t>
            </w:r>
            <w:r>
              <w:rPr>
                <w:rFonts w:hint="eastAsia"/>
                <w:color w:val="000000"/>
                <w:sz w:val="18"/>
                <w:szCs w:val="18"/>
                <w:lang w:val="en-US"/>
              </w:rPr>
              <w:t>宗教事务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2040602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公共安全支出</w:t>
            </w:r>
            <w:r>
              <w:rPr>
                <w:rFonts w:hint="eastAsia"/>
                <w:color w:val="000000"/>
                <w:sz w:val="18"/>
                <w:szCs w:val="18"/>
                <w:lang w:val="en-US"/>
              </w:rPr>
              <w:t>-</w:t>
            </w:r>
            <w:r>
              <w:rPr>
                <w:rFonts w:hint="eastAsia"/>
                <w:color w:val="000000"/>
                <w:sz w:val="18"/>
                <w:szCs w:val="18"/>
                <w:lang w:val="en-US"/>
              </w:rPr>
              <w:t>司法</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38.4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95.0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56.6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147.14%</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2040605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公共安全支出</w:t>
            </w:r>
            <w:r>
              <w:rPr>
                <w:rFonts w:hint="eastAsia"/>
                <w:color w:val="000000"/>
                <w:sz w:val="18"/>
                <w:szCs w:val="18"/>
                <w:lang w:val="en-US"/>
              </w:rPr>
              <w:t>-</w:t>
            </w:r>
            <w:r>
              <w:rPr>
                <w:rFonts w:hint="eastAsia"/>
                <w:color w:val="000000"/>
                <w:sz w:val="18"/>
                <w:szCs w:val="18"/>
                <w:lang w:val="en-US"/>
              </w:rPr>
              <w:t>司法</w:t>
            </w:r>
            <w:r>
              <w:rPr>
                <w:rFonts w:hint="eastAsia"/>
                <w:color w:val="000000"/>
                <w:sz w:val="18"/>
                <w:szCs w:val="18"/>
                <w:lang w:val="en-US"/>
              </w:rPr>
              <w:t>-</w:t>
            </w:r>
            <w:r>
              <w:rPr>
                <w:rFonts w:hint="eastAsia"/>
                <w:color w:val="000000"/>
                <w:sz w:val="18"/>
                <w:szCs w:val="18"/>
                <w:lang w:val="en-US"/>
              </w:rPr>
              <w:t>普法宣传</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2049999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公共安全支出</w:t>
            </w:r>
            <w:r>
              <w:rPr>
                <w:rFonts w:hint="eastAsia"/>
                <w:color w:val="000000"/>
                <w:sz w:val="18"/>
                <w:szCs w:val="18"/>
                <w:lang w:val="en-US"/>
              </w:rPr>
              <w:t>-</w:t>
            </w:r>
            <w:r>
              <w:rPr>
                <w:rFonts w:hint="eastAsia"/>
                <w:color w:val="000000"/>
                <w:sz w:val="18"/>
                <w:szCs w:val="18"/>
                <w:lang w:val="en-US"/>
              </w:rPr>
              <w:t>其他公共安全支出</w:t>
            </w:r>
            <w:r>
              <w:rPr>
                <w:rFonts w:hint="eastAsia"/>
                <w:color w:val="000000"/>
                <w:sz w:val="18"/>
                <w:szCs w:val="18"/>
                <w:lang w:val="en-US"/>
              </w:rPr>
              <w:t>-</w:t>
            </w:r>
            <w:r>
              <w:rPr>
                <w:rFonts w:hint="eastAsia"/>
                <w:color w:val="000000"/>
                <w:sz w:val="18"/>
                <w:szCs w:val="18"/>
                <w:lang w:val="en-US"/>
              </w:rPr>
              <w:t>其他公共安全支出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10.1</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50.92%</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2050201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教育支出</w:t>
            </w:r>
            <w:r>
              <w:rPr>
                <w:rFonts w:hint="eastAsia"/>
                <w:color w:val="000000"/>
                <w:sz w:val="18"/>
                <w:szCs w:val="18"/>
                <w:lang w:val="en-US"/>
              </w:rPr>
              <w:t>-</w:t>
            </w:r>
            <w:r>
              <w:rPr>
                <w:rFonts w:hint="eastAsia"/>
                <w:color w:val="000000"/>
                <w:sz w:val="18"/>
                <w:szCs w:val="18"/>
                <w:lang w:val="en-US"/>
              </w:rPr>
              <w:t>普通教育</w:t>
            </w:r>
            <w:r>
              <w:rPr>
                <w:rFonts w:hint="eastAsia"/>
                <w:color w:val="000000"/>
                <w:sz w:val="18"/>
                <w:szCs w:val="18"/>
                <w:lang w:val="en-US"/>
              </w:rPr>
              <w:t>-</w:t>
            </w:r>
            <w:r>
              <w:rPr>
                <w:rFonts w:hint="eastAsia"/>
                <w:color w:val="000000"/>
                <w:sz w:val="18"/>
                <w:szCs w:val="18"/>
                <w:lang w:val="en-US"/>
              </w:rPr>
              <w:t>学前教育</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1300.0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民政管理事务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8.4</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8.4</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2080202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民政管理事务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200.0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2080299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民政管理事务</w:t>
            </w:r>
            <w:r>
              <w:rPr>
                <w:rFonts w:hint="eastAsia"/>
                <w:color w:val="000000"/>
                <w:sz w:val="18"/>
                <w:szCs w:val="18"/>
                <w:lang w:val="en-US"/>
              </w:rPr>
              <w:t>-</w:t>
            </w:r>
            <w:r>
              <w:rPr>
                <w:rFonts w:hint="eastAsia"/>
                <w:color w:val="000000"/>
                <w:sz w:val="18"/>
                <w:szCs w:val="18"/>
                <w:lang w:val="en-US"/>
              </w:rPr>
              <w:t>其他民政管理事务支出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61.9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-41.9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-67.67%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2080502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行政事业单位养老支出</w:t>
            </w:r>
            <w:r>
              <w:rPr>
                <w:rFonts w:hint="eastAsia"/>
                <w:b/>
                <w:color w:val="000000"/>
                <w:sz w:val="18"/>
                <w:szCs w:val="18"/>
                <w:lang w:val="en-US"/>
              </w:rPr>
              <w:t>-</w:t>
            </w:r>
            <w:r>
              <w:rPr>
                <w:rStyle w:val="font31"/>
                <w:rFonts w:hint="default"/>
                <w:lang w:val="en-US"/>
              </w:rPr>
              <w:t>事业单位离退休</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67.5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其他社会保障和就业支出</w:t>
            </w:r>
            <w:r>
              <w:rPr>
                <w:rFonts w:hint="eastAsia"/>
                <w:b/>
                <w:color w:val="000000"/>
                <w:sz w:val="18"/>
                <w:szCs w:val="18"/>
                <w:lang w:val="en-US"/>
              </w:rPr>
              <w:t>-</w:t>
            </w:r>
            <w:r>
              <w:rPr>
                <w:rStyle w:val="font31"/>
                <w:rFonts w:hint="default"/>
                <w:lang w:val="en-US"/>
              </w:rPr>
              <w:t>其他社会保障和就业支出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187.1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卫生健康管理事务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2100409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重大公共卫生服务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2100410</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突发公共卫生事件应急处理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2100499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公共卫生</w:t>
            </w:r>
            <w:r>
              <w:rPr>
                <w:rFonts w:hint="eastAsia"/>
                <w:color w:val="000000"/>
                <w:sz w:val="18"/>
                <w:szCs w:val="18"/>
                <w:lang w:val="en-US"/>
              </w:rPr>
              <w:t>-</w:t>
            </w:r>
            <w:r>
              <w:rPr>
                <w:rFonts w:hint="eastAsia"/>
                <w:color w:val="000000"/>
                <w:sz w:val="18"/>
                <w:szCs w:val="18"/>
                <w:lang w:val="en-US"/>
              </w:rPr>
              <w:t>其他公共卫生支出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105.0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105.0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2130153</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农林水支出</w:t>
            </w:r>
            <w:r>
              <w:rPr>
                <w:rFonts w:hint="eastAsia"/>
                <w:color w:val="000000"/>
                <w:sz w:val="18"/>
                <w:szCs w:val="18"/>
                <w:lang w:val="en-US"/>
              </w:rPr>
              <w:t>-</w:t>
            </w:r>
            <w:r>
              <w:rPr>
                <w:rFonts w:hint="eastAsia"/>
                <w:color w:val="000000"/>
                <w:sz w:val="18"/>
                <w:szCs w:val="18"/>
                <w:lang w:val="en-US"/>
              </w:rPr>
              <w:t>农业农村</w:t>
            </w:r>
            <w:r>
              <w:rPr>
                <w:rFonts w:hint="eastAsia"/>
                <w:color w:val="000000"/>
                <w:sz w:val="18"/>
                <w:szCs w:val="18"/>
                <w:lang w:val="en-US"/>
              </w:rPr>
              <w:t>-</w:t>
            </w:r>
            <w:r>
              <w:rPr>
                <w:rFonts w:hint="eastAsia"/>
                <w:color w:val="000000"/>
                <w:sz w:val="18"/>
                <w:szCs w:val="18"/>
                <w:lang w:val="en-US"/>
              </w:rPr>
              <w:t>农田建设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59.3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2130314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农林水支出</w:t>
            </w:r>
            <w:r>
              <w:rPr>
                <w:rFonts w:hint="eastAsia"/>
                <w:color w:val="000000"/>
                <w:sz w:val="18"/>
                <w:szCs w:val="18"/>
                <w:lang w:val="en-US"/>
              </w:rPr>
              <w:t>-</w:t>
            </w:r>
            <w:r>
              <w:rPr>
                <w:rFonts w:hint="eastAsia"/>
                <w:color w:val="000000"/>
                <w:sz w:val="18"/>
                <w:szCs w:val="18"/>
                <w:lang w:val="en-US"/>
              </w:rPr>
              <w:t>水利</w:t>
            </w:r>
            <w:r>
              <w:rPr>
                <w:rFonts w:hint="eastAsia"/>
                <w:color w:val="000000"/>
                <w:sz w:val="18"/>
                <w:szCs w:val="18"/>
                <w:lang w:val="en-US"/>
              </w:rPr>
              <w:t>-</w:t>
            </w:r>
            <w:r>
              <w:rPr>
                <w:rFonts w:hint="eastAsia"/>
                <w:color w:val="000000"/>
                <w:sz w:val="18"/>
                <w:szCs w:val="18"/>
                <w:lang w:val="en-US"/>
              </w:rPr>
              <w:t>防汛</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18.9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2130502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农林水支出</w:t>
            </w:r>
            <w:r>
              <w:rPr>
                <w:rFonts w:hint="eastAsia"/>
                <w:color w:val="000000"/>
                <w:sz w:val="18"/>
                <w:szCs w:val="18"/>
                <w:lang w:val="en-US"/>
              </w:rPr>
              <w:t>-</w:t>
            </w:r>
            <w:r>
              <w:rPr>
                <w:rFonts w:hint="eastAsia"/>
                <w:color w:val="000000"/>
                <w:sz w:val="18"/>
                <w:szCs w:val="18"/>
                <w:lang w:val="en-US"/>
              </w:rPr>
              <w:t>巩固脱贫衔接乡村振兴</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33.7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156.3</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463.11%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2130505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农林水支出</w:t>
            </w:r>
            <w:r>
              <w:rPr>
                <w:rFonts w:hint="eastAsia"/>
                <w:color w:val="000000"/>
                <w:sz w:val="18"/>
                <w:szCs w:val="18"/>
                <w:lang w:val="en-US"/>
              </w:rPr>
              <w:t>-</w:t>
            </w:r>
            <w:r>
              <w:rPr>
                <w:rFonts w:hint="eastAsia"/>
                <w:color w:val="000000"/>
                <w:sz w:val="18"/>
                <w:szCs w:val="18"/>
                <w:lang w:val="en-US"/>
              </w:rPr>
              <w:t>巩固脱贫衔接乡村振兴</w:t>
            </w:r>
            <w:r>
              <w:rPr>
                <w:rFonts w:hint="eastAsia"/>
                <w:color w:val="000000"/>
                <w:sz w:val="18"/>
                <w:szCs w:val="18"/>
                <w:lang w:val="en-US"/>
              </w:rPr>
              <w:t>-</w:t>
            </w:r>
            <w:r>
              <w:rPr>
                <w:rFonts w:hint="eastAsia"/>
                <w:color w:val="000000"/>
                <w:sz w:val="18"/>
                <w:szCs w:val="18"/>
                <w:lang w:val="en-US"/>
              </w:rPr>
              <w:t>生产发展</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其他灾害防治及应急管理支出</w:t>
            </w:r>
            <w:r>
              <w:rPr>
                <w:rFonts w:hint="eastAsia"/>
                <w:color w:val="000000"/>
                <w:sz w:val="18"/>
                <w:szCs w:val="18"/>
                <w:lang w:val="en-US"/>
              </w:rPr>
              <w:t>-</w:t>
            </w:r>
            <w:r>
              <w:rPr>
                <w:rFonts w:hint="eastAsia"/>
                <w:color w:val="000000"/>
                <w:sz w:val="18"/>
                <w:szCs w:val="18"/>
                <w:lang w:val="en-US"/>
              </w:rPr>
              <w:t>其他灾害防治及应急管理支出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452.0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宁夏宁东能源化工基地管理委员会财政金融局本级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75.4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140.0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74.6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99.03%</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2010601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财政事务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-10.70%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2010602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财政事务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85.67%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2010608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财政事务</w:t>
            </w:r>
            <w:r>
              <w:rPr>
                <w:rFonts w:hint="eastAsia"/>
                <w:color w:val="000000"/>
                <w:sz w:val="18"/>
                <w:szCs w:val="18"/>
                <w:lang w:val="en-US"/>
              </w:rPr>
              <w:t>-</w:t>
            </w:r>
            <w:r>
              <w:rPr>
                <w:rFonts w:hint="eastAsia"/>
                <w:color w:val="000000"/>
                <w:sz w:val="18"/>
                <w:szCs w:val="18"/>
                <w:lang w:val="en-US"/>
              </w:rPr>
              <w:t>财政委托业务支出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140.96%</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lastRenderedPageBreak/>
              <w:t>2010699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财政事务</w:t>
            </w:r>
            <w:r>
              <w:rPr>
                <w:rFonts w:hint="eastAsia"/>
                <w:color w:val="000000"/>
                <w:sz w:val="18"/>
                <w:szCs w:val="18"/>
                <w:lang w:val="en-US"/>
              </w:rPr>
              <w:t>-</w:t>
            </w:r>
            <w:r>
              <w:rPr>
                <w:rFonts w:hint="eastAsia"/>
                <w:color w:val="000000"/>
                <w:sz w:val="18"/>
                <w:szCs w:val="18"/>
                <w:lang w:val="en-US"/>
              </w:rPr>
              <w:t>其他财政事务支出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2010804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审计事务</w:t>
            </w:r>
            <w:r>
              <w:rPr>
                <w:rFonts w:hint="eastAsia"/>
                <w:color w:val="000000"/>
                <w:sz w:val="18"/>
                <w:szCs w:val="18"/>
                <w:lang w:val="en-US"/>
              </w:rPr>
              <w:t>-</w:t>
            </w:r>
            <w:r>
              <w:rPr>
                <w:rFonts w:hint="eastAsia"/>
                <w:color w:val="000000"/>
                <w:sz w:val="18"/>
                <w:szCs w:val="18"/>
                <w:lang w:val="en-US"/>
              </w:rPr>
              <w:t>审计业务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50.5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59.5</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117.90%</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宁夏宁东能源化工基地管理委员会生态环境局本级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3091.1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490.1</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479.0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174.9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5.66%</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其他政府办公厅（室）及相关机构事务支出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环境保护管理事务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11.1</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11.1</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40.07%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环境保护管理事务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307.2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257.0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257.0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-50.2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-16.35%</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2110107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环境保护管理事务</w:t>
            </w:r>
            <w:r>
              <w:rPr>
                <w:rFonts w:hint="eastAsia"/>
                <w:color w:val="000000"/>
                <w:sz w:val="18"/>
                <w:szCs w:val="18"/>
                <w:lang w:val="en-US"/>
              </w:rPr>
              <w:t>-</w:t>
            </w:r>
            <w:r>
              <w:rPr>
                <w:rFonts w:hint="eastAsia"/>
                <w:color w:val="000000"/>
                <w:sz w:val="18"/>
                <w:szCs w:val="18"/>
                <w:lang w:val="en-US"/>
              </w:rPr>
              <w:t>生态环境保护行政许可</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2110199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环境保护管理事务</w:t>
            </w:r>
            <w:r>
              <w:rPr>
                <w:rFonts w:hint="eastAsia"/>
                <w:color w:val="000000"/>
                <w:sz w:val="18"/>
                <w:szCs w:val="18"/>
                <w:lang w:val="en-US"/>
              </w:rPr>
              <w:t>-</w:t>
            </w:r>
            <w:r>
              <w:rPr>
                <w:rFonts w:hint="eastAsia"/>
                <w:color w:val="000000"/>
                <w:sz w:val="18"/>
                <w:szCs w:val="18"/>
                <w:lang w:val="en-US"/>
              </w:rPr>
              <w:t>其他环境保护管理事务支出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2110299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环境监测与监察</w:t>
            </w:r>
            <w:r>
              <w:rPr>
                <w:rFonts w:hint="eastAsia"/>
                <w:color w:val="000000"/>
                <w:sz w:val="18"/>
                <w:szCs w:val="18"/>
                <w:lang w:val="en-US"/>
              </w:rPr>
              <w:t>-</w:t>
            </w:r>
            <w:r>
              <w:rPr>
                <w:rFonts w:hint="eastAsia"/>
                <w:color w:val="000000"/>
                <w:sz w:val="18"/>
                <w:szCs w:val="18"/>
                <w:lang w:val="en-US"/>
              </w:rPr>
              <w:t>其他环境监测与监察支出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192.0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大气</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1004.7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水体</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固体废弃物与化学品</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574.8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2110307</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土壤</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节能环保支出</w:t>
            </w:r>
            <w:r>
              <w:rPr>
                <w:rFonts w:hint="eastAsia"/>
                <w:color w:val="000000"/>
                <w:sz w:val="18"/>
                <w:szCs w:val="18"/>
                <w:lang w:val="en-US"/>
              </w:rPr>
              <w:t>-</w:t>
            </w:r>
            <w:r>
              <w:rPr>
                <w:rFonts w:hint="eastAsia"/>
                <w:color w:val="000000"/>
                <w:sz w:val="18"/>
                <w:szCs w:val="18"/>
                <w:lang w:val="en-US"/>
              </w:rPr>
              <w:t>污染防治</w:t>
            </w:r>
            <w:r>
              <w:rPr>
                <w:rFonts w:hint="eastAsia"/>
                <w:color w:val="000000"/>
                <w:sz w:val="18"/>
                <w:szCs w:val="18"/>
                <w:lang w:val="en-US"/>
              </w:rPr>
              <w:t>-</w:t>
            </w:r>
            <w:r>
              <w:rPr>
                <w:rFonts w:hint="eastAsia"/>
                <w:color w:val="000000"/>
                <w:sz w:val="18"/>
                <w:szCs w:val="18"/>
                <w:lang w:val="en-US"/>
              </w:rPr>
              <w:t>其他污染防治支出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宁夏宁东能源化工基地管理委员会应急管理局本级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754.4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944.2</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1107.0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362.4</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48.03%</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其他政府办公厅（室）及相关机构事务支出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应急管理事务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19.2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19.2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应急管理事务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182.0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应急管理事务</w:t>
            </w:r>
            <w:r>
              <w:rPr>
                <w:rFonts w:hint="eastAsia"/>
                <w:color w:val="000000"/>
                <w:sz w:val="18"/>
                <w:szCs w:val="18"/>
                <w:lang w:val="en-US"/>
              </w:rPr>
              <w:t>-</w:t>
            </w:r>
            <w:r>
              <w:rPr>
                <w:rFonts w:hint="eastAsia"/>
                <w:color w:val="000000"/>
                <w:sz w:val="18"/>
                <w:szCs w:val="18"/>
                <w:lang w:val="en-US"/>
              </w:rPr>
              <w:t>安全监管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578.1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825.0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825.0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246.9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42.71%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2240108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应急管理事务</w:t>
            </w:r>
            <w:r>
              <w:rPr>
                <w:rFonts w:hint="eastAsia"/>
                <w:color w:val="000000"/>
                <w:sz w:val="18"/>
                <w:szCs w:val="18"/>
                <w:lang w:val="en-US"/>
              </w:rPr>
              <w:t>-</w:t>
            </w:r>
            <w:r>
              <w:rPr>
                <w:rFonts w:hint="eastAsia"/>
                <w:color w:val="000000"/>
                <w:sz w:val="18"/>
                <w:szCs w:val="18"/>
                <w:lang w:val="en-US"/>
              </w:rPr>
              <w:t>应急救援</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96.3</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2576.37%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2240109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应急管理事务</w:t>
            </w:r>
            <w:r>
              <w:rPr>
                <w:rFonts w:hint="eastAsia"/>
                <w:color w:val="000000"/>
                <w:sz w:val="18"/>
                <w:szCs w:val="18"/>
                <w:lang w:val="en-US"/>
              </w:rPr>
              <w:t>-</w:t>
            </w:r>
            <w:r>
              <w:rPr>
                <w:rFonts w:hint="eastAsia"/>
                <w:color w:val="000000"/>
                <w:sz w:val="18"/>
                <w:szCs w:val="18"/>
                <w:lang w:val="en-US"/>
              </w:rPr>
              <w:t>应急管理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150.3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2240699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灾害防治及应急管理支出</w:t>
            </w:r>
            <w:r>
              <w:rPr>
                <w:rFonts w:hint="eastAsia"/>
                <w:color w:val="000000"/>
                <w:sz w:val="18"/>
                <w:szCs w:val="18"/>
                <w:lang w:val="en-US"/>
              </w:rPr>
              <w:t>-</w:t>
            </w:r>
            <w:r>
              <w:rPr>
                <w:rFonts w:hint="eastAsia"/>
                <w:color w:val="000000"/>
                <w:sz w:val="18"/>
                <w:szCs w:val="18"/>
                <w:lang w:val="en-US"/>
              </w:rPr>
              <w:t>自然灾害防治</w:t>
            </w:r>
            <w:r>
              <w:rPr>
                <w:rFonts w:hint="eastAsia"/>
                <w:color w:val="000000"/>
                <w:sz w:val="18"/>
                <w:szCs w:val="18"/>
                <w:lang w:val="en-US"/>
              </w:rPr>
              <w:t>-</w:t>
            </w:r>
            <w:r>
              <w:rPr>
                <w:rFonts w:hint="eastAsia"/>
                <w:color w:val="000000"/>
                <w:sz w:val="18"/>
                <w:szCs w:val="18"/>
                <w:lang w:val="en-US"/>
              </w:rPr>
              <w:t>其他自然灾害防治支出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110</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宁夏宁东能源化工基地管理委员会招商局本级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7562.6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432.8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425.0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-6489.8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-85.81%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2011301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商贸事务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4.4</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129.42%</w:t>
            </w:r>
          </w:p>
        </w:tc>
      </w:tr>
      <w:tr w:rsidR="00B32044">
        <w:trPr>
          <w:trHeight w:val="28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2011308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商贸事务</w:t>
            </w:r>
            <w:r>
              <w:rPr>
                <w:rFonts w:hint="eastAsia"/>
                <w:color w:val="000000"/>
                <w:sz w:val="18"/>
                <w:szCs w:val="18"/>
                <w:lang w:val="en-US"/>
              </w:rPr>
              <w:t>-</w:t>
            </w:r>
            <w:r>
              <w:rPr>
                <w:rFonts w:hint="eastAsia"/>
                <w:color w:val="000000"/>
                <w:sz w:val="18"/>
                <w:szCs w:val="18"/>
                <w:lang w:val="en-US"/>
              </w:rPr>
              <w:t>招商引资</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6919.2</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425.0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425.0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-6494.2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-93.86%</w:t>
            </w:r>
          </w:p>
        </w:tc>
      </w:tr>
      <w:tr w:rsidR="00B32044">
        <w:trPr>
          <w:trHeight w:val="28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城乡社区公共设施</w:t>
            </w:r>
            <w:r>
              <w:rPr>
                <w:rFonts w:hint="eastAsia"/>
                <w:color w:val="000000"/>
                <w:sz w:val="18"/>
                <w:szCs w:val="18"/>
                <w:lang w:val="en-US"/>
              </w:rPr>
              <w:t>-</w:t>
            </w:r>
            <w:r>
              <w:rPr>
                <w:rFonts w:hint="eastAsia"/>
                <w:color w:val="000000"/>
                <w:sz w:val="18"/>
                <w:szCs w:val="18"/>
                <w:lang w:val="en-US"/>
              </w:rPr>
              <w:t>其他城乡社区公共设施支出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640.0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114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宁夏宁东能源化工基地管理委员会纪检监察工委本级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26.3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65.8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39.5</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150.57%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2011101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纪检监察事务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4.9</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60.48%</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2011102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纪检监察事务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58.0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36.6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171.03%</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116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宁夏宁东能源化工基地管理委员会科技和信息化局本级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1209.0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604.7</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593.0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604.7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50.01%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lastRenderedPageBreak/>
              <w:t>2010404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w:t>
            </w:r>
            <w:r>
              <w:rPr>
                <w:rFonts w:hint="eastAsia"/>
                <w:color w:val="000000"/>
                <w:sz w:val="18"/>
                <w:szCs w:val="18"/>
                <w:lang w:val="en-US"/>
              </w:rPr>
              <w:t>-</w:t>
            </w:r>
            <w:r>
              <w:rPr>
                <w:rFonts w:hint="eastAsia"/>
                <w:color w:val="000000"/>
                <w:sz w:val="18"/>
                <w:szCs w:val="18"/>
                <w:lang w:val="en-US"/>
              </w:rPr>
              <w:t>战略规划与实施</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420.3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2060101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科学技术支出</w:t>
            </w:r>
            <w:r>
              <w:rPr>
                <w:rFonts w:hint="eastAsia"/>
                <w:color w:val="000000"/>
                <w:sz w:val="18"/>
                <w:szCs w:val="18"/>
                <w:lang w:val="en-US"/>
              </w:rPr>
              <w:t>-</w:t>
            </w:r>
            <w:r>
              <w:rPr>
                <w:rFonts w:hint="eastAsia"/>
                <w:color w:val="000000"/>
                <w:sz w:val="18"/>
                <w:szCs w:val="18"/>
                <w:lang w:val="en-US"/>
              </w:rPr>
              <w:t>科学技术管理事务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11.7</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2060102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科学技术支出</w:t>
            </w:r>
            <w:r>
              <w:rPr>
                <w:rFonts w:hint="eastAsia"/>
                <w:color w:val="000000"/>
                <w:sz w:val="18"/>
                <w:szCs w:val="18"/>
                <w:lang w:val="en-US"/>
              </w:rPr>
              <w:t>-</w:t>
            </w:r>
            <w:r>
              <w:rPr>
                <w:rFonts w:hint="eastAsia"/>
                <w:color w:val="000000"/>
                <w:sz w:val="18"/>
                <w:szCs w:val="18"/>
                <w:lang w:val="en-US"/>
              </w:rPr>
              <w:t>科学技术管理事务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593.0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593.0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593.0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2060208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科学技术支出</w:t>
            </w:r>
            <w:r>
              <w:rPr>
                <w:rFonts w:hint="eastAsia"/>
                <w:color w:val="000000"/>
                <w:sz w:val="18"/>
                <w:szCs w:val="18"/>
                <w:lang w:val="en-US"/>
              </w:rPr>
              <w:t>-</w:t>
            </w:r>
            <w:r>
              <w:rPr>
                <w:rFonts w:hint="eastAsia"/>
                <w:color w:val="000000"/>
                <w:sz w:val="18"/>
                <w:szCs w:val="18"/>
                <w:lang w:val="en-US"/>
              </w:rPr>
              <w:t>基础研究</w:t>
            </w:r>
            <w:r>
              <w:rPr>
                <w:rFonts w:hint="eastAsia"/>
                <w:color w:val="000000"/>
                <w:sz w:val="18"/>
                <w:szCs w:val="18"/>
                <w:lang w:val="en-US"/>
              </w:rPr>
              <w:t>-</w:t>
            </w:r>
            <w:r>
              <w:rPr>
                <w:rFonts w:hint="eastAsia"/>
                <w:color w:val="000000"/>
                <w:sz w:val="18"/>
                <w:szCs w:val="18"/>
                <w:lang w:val="en-US"/>
              </w:rPr>
              <w:t>科技人才队伍建设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715.0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2069999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科学技术支出</w:t>
            </w:r>
            <w:r>
              <w:rPr>
                <w:rFonts w:hint="eastAsia"/>
                <w:color w:val="000000"/>
                <w:sz w:val="18"/>
                <w:szCs w:val="18"/>
                <w:lang w:val="en-US"/>
              </w:rPr>
              <w:t>-</w:t>
            </w:r>
            <w:r>
              <w:rPr>
                <w:rFonts w:hint="eastAsia"/>
                <w:color w:val="000000"/>
                <w:sz w:val="18"/>
                <w:szCs w:val="18"/>
                <w:lang w:val="en-US"/>
              </w:rPr>
              <w:t>其他科学技术支出</w:t>
            </w:r>
            <w:r>
              <w:rPr>
                <w:rFonts w:hint="eastAsia"/>
                <w:color w:val="000000"/>
                <w:sz w:val="18"/>
                <w:szCs w:val="18"/>
                <w:lang w:val="en-US"/>
              </w:rPr>
              <w:t>-</w:t>
            </w:r>
            <w:r>
              <w:rPr>
                <w:rFonts w:hint="eastAsia"/>
                <w:color w:val="000000"/>
                <w:sz w:val="18"/>
                <w:szCs w:val="18"/>
                <w:lang w:val="en-US"/>
              </w:rPr>
              <w:t>其他科学技术支出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73.6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119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宁夏宁东能源化工基地管理委员会人力资源局本级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2302.4</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4459.6</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4349.6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2454.6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106.61%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2001.7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3872.7</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3872.7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1871.0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93.47%</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2010302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政府办公厅（室）及相关机构事务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2010404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一般公共服务支出</w:t>
            </w:r>
            <w:r>
              <w:rPr>
                <w:rFonts w:hint="eastAsia"/>
                <w:color w:val="000000"/>
                <w:sz w:val="18"/>
                <w:szCs w:val="18"/>
                <w:lang w:val="en-US"/>
              </w:rPr>
              <w:t>-</w:t>
            </w:r>
            <w:r>
              <w:rPr>
                <w:rFonts w:hint="eastAsia"/>
                <w:color w:val="000000"/>
                <w:sz w:val="18"/>
                <w:szCs w:val="18"/>
                <w:lang w:val="en-US"/>
              </w:rPr>
              <w:t>发展与改革事务战略规划与实施</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81.6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2060208</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科学技术支出</w:t>
            </w:r>
            <w:r>
              <w:rPr>
                <w:rFonts w:hint="eastAsia"/>
                <w:color w:val="000000"/>
                <w:sz w:val="18"/>
                <w:szCs w:val="18"/>
                <w:lang w:val="en-US"/>
              </w:rPr>
              <w:t>-</w:t>
            </w:r>
            <w:r>
              <w:rPr>
                <w:rFonts w:hint="eastAsia"/>
                <w:color w:val="000000"/>
                <w:sz w:val="18"/>
                <w:szCs w:val="18"/>
                <w:lang w:val="en-US"/>
              </w:rPr>
              <w:t>基础研究</w:t>
            </w:r>
            <w:r>
              <w:rPr>
                <w:rFonts w:hint="eastAsia"/>
                <w:color w:val="000000"/>
                <w:sz w:val="18"/>
                <w:szCs w:val="18"/>
                <w:lang w:val="en-US"/>
              </w:rPr>
              <w:t>-</w:t>
            </w:r>
            <w:r>
              <w:rPr>
                <w:rFonts w:hint="eastAsia"/>
                <w:color w:val="000000"/>
                <w:sz w:val="18"/>
                <w:szCs w:val="18"/>
                <w:lang w:val="en-US"/>
              </w:rPr>
              <w:t>科技人才队伍建设</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58.5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人力资源和社会保障管理事务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12.8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人力资源和社会保障管理事务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110.0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110.0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2080116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人力资源和社会保障管理事务</w:t>
            </w:r>
            <w:r>
              <w:rPr>
                <w:rFonts w:hint="eastAsia"/>
                <w:color w:val="000000"/>
                <w:sz w:val="18"/>
                <w:szCs w:val="18"/>
                <w:lang w:val="en-US"/>
              </w:rPr>
              <w:t>-</w:t>
            </w:r>
            <w:r>
              <w:rPr>
                <w:rFonts w:hint="eastAsia"/>
                <w:color w:val="000000"/>
                <w:sz w:val="18"/>
                <w:szCs w:val="18"/>
                <w:lang w:val="en-US"/>
              </w:rPr>
              <w:t>引进人才费用</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2080199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人力资源和社会保障管理事务</w:t>
            </w:r>
            <w:r>
              <w:rPr>
                <w:rFonts w:hint="eastAsia"/>
                <w:color w:val="000000"/>
                <w:sz w:val="18"/>
                <w:szCs w:val="18"/>
                <w:lang w:val="en-US"/>
              </w:rPr>
              <w:t>-</w:t>
            </w:r>
            <w:r>
              <w:rPr>
                <w:rFonts w:hint="eastAsia"/>
                <w:color w:val="000000"/>
                <w:sz w:val="18"/>
                <w:szCs w:val="18"/>
                <w:lang w:val="en-US"/>
              </w:rPr>
              <w:t>其他人力资源和社会保障管理事务支出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70.8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2080501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行政事业单位养老支出</w:t>
            </w:r>
            <w:r>
              <w:rPr>
                <w:rFonts w:hint="eastAsia"/>
                <w:color w:val="000000"/>
                <w:sz w:val="18"/>
                <w:szCs w:val="18"/>
                <w:lang w:val="en-US"/>
              </w:rPr>
              <w:t>-</w:t>
            </w:r>
            <w:r>
              <w:rPr>
                <w:rFonts w:hint="eastAsia"/>
                <w:color w:val="000000"/>
                <w:sz w:val="18"/>
                <w:szCs w:val="18"/>
                <w:lang w:val="en-US"/>
              </w:rPr>
              <w:t>行政单位离退休</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23.0</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19.7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596.91%</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2080505</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行政事业单位养老支出</w:t>
            </w:r>
            <w:r>
              <w:rPr>
                <w:rFonts w:hint="eastAsia"/>
                <w:color w:val="000000"/>
                <w:sz w:val="18"/>
                <w:szCs w:val="18"/>
                <w:lang w:val="en-US"/>
              </w:rPr>
              <w:t>-</w:t>
            </w:r>
            <w:r>
              <w:rPr>
                <w:rFonts w:hint="eastAsia"/>
                <w:color w:val="000000"/>
                <w:sz w:val="18"/>
                <w:szCs w:val="18"/>
                <w:lang w:val="en-US"/>
              </w:rPr>
              <w:t>机关事业单位基本养老保险缴费支出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177.6</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177.6</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177.6</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2080506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行政事业单位养老支出</w:t>
            </w:r>
            <w:r>
              <w:rPr>
                <w:rFonts w:hint="eastAsia"/>
                <w:color w:val="000000"/>
                <w:sz w:val="18"/>
                <w:szCs w:val="18"/>
                <w:lang w:val="en-US"/>
              </w:rPr>
              <w:t>-</w:t>
            </w:r>
            <w:r>
              <w:rPr>
                <w:rFonts w:hint="eastAsia"/>
                <w:color w:val="000000"/>
                <w:sz w:val="18"/>
                <w:szCs w:val="18"/>
                <w:lang w:val="en-US"/>
              </w:rPr>
              <w:t>机关事业单位职业年金缴费支出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0.0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88.8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2089999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社会保障和就业支出</w:t>
            </w:r>
            <w:r>
              <w:rPr>
                <w:rFonts w:hint="eastAsia"/>
                <w:color w:val="000000"/>
                <w:sz w:val="18"/>
                <w:szCs w:val="18"/>
                <w:lang w:val="en-US"/>
              </w:rPr>
              <w:t>-</w:t>
            </w:r>
            <w:r>
              <w:rPr>
                <w:rFonts w:hint="eastAsia"/>
                <w:color w:val="000000"/>
                <w:sz w:val="18"/>
                <w:szCs w:val="18"/>
                <w:lang w:val="en-US"/>
              </w:rPr>
              <w:t>其他社会保障和就业支出</w:t>
            </w:r>
            <w:r>
              <w:rPr>
                <w:rFonts w:hint="eastAsia"/>
                <w:color w:val="000000"/>
                <w:sz w:val="18"/>
                <w:szCs w:val="18"/>
                <w:lang w:val="en-US"/>
              </w:rPr>
              <w:t>-</w:t>
            </w:r>
            <w:r>
              <w:rPr>
                <w:rFonts w:hint="eastAsia"/>
                <w:color w:val="000000"/>
                <w:sz w:val="18"/>
                <w:szCs w:val="18"/>
                <w:lang w:val="en-US"/>
              </w:rPr>
              <w:t>其他社会保障和就业支出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32.2</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32.2</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32.2</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2101101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行政事业单位医疗</w:t>
            </w:r>
            <w:r>
              <w:rPr>
                <w:rFonts w:hint="eastAsia"/>
                <w:color w:val="000000"/>
                <w:sz w:val="18"/>
                <w:szCs w:val="18"/>
                <w:lang w:val="en-US"/>
              </w:rPr>
              <w:t>-</w:t>
            </w:r>
            <w:r>
              <w:rPr>
                <w:rFonts w:hint="eastAsia"/>
                <w:color w:val="000000"/>
                <w:sz w:val="18"/>
                <w:szCs w:val="18"/>
                <w:lang w:val="en-US"/>
              </w:rPr>
              <w:t>行政单位医疗</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97.7</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97.7</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97.7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2101103</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卫生健康支出</w:t>
            </w:r>
            <w:r>
              <w:rPr>
                <w:rFonts w:hint="eastAsia"/>
                <w:color w:val="000000"/>
                <w:sz w:val="18"/>
                <w:szCs w:val="18"/>
                <w:lang w:val="en-US"/>
              </w:rPr>
              <w:t>-</w:t>
            </w:r>
            <w:r>
              <w:rPr>
                <w:rFonts w:hint="eastAsia"/>
                <w:color w:val="000000"/>
                <w:sz w:val="18"/>
                <w:szCs w:val="18"/>
                <w:lang w:val="en-US"/>
              </w:rPr>
              <w:t>行政事业单位医疗</w:t>
            </w:r>
            <w:r>
              <w:rPr>
                <w:rFonts w:hint="eastAsia"/>
                <w:color w:val="000000"/>
                <w:sz w:val="18"/>
                <w:szCs w:val="18"/>
                <w:lang w:val="en-US"/>
              </w:rPr>
              <w:t>-</w:t>
            </w:r>
            <w:r>
              <w:rPr>
                <w:rFonts w:hint="eastAsia"/>
                <w:color w:val="000000"/>
                <w:sz w:val="18"/>
                <w:szCs w:val="18"/>
                <w:lang w:val="en-US"/>
              </w:rPr>
              <w:t>公务员医疗补助</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44.9</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44.9</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44.9</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2210201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住房保障支出</w:t>
            </w:r>
            <w:r>
              <w:rPr>
                <w:rFonts w:hint="eastAsia"/>
                <w:color w:val="000000"/>
                <w:sz w:val="18"/>
                <w:szCs w:val="18"/>
                <w:lang w:val="en-US"/>
              </w:rPr>
              <w:t>-</w:t>
            </w:r>
            <w:r>
              <w:rPr>
                <w:rFonts w:hint="eastAsia"/>
                <w:color w:val="000000"/>
                <w:sz w:val="18"/>
                <w:szCs w:val="18"/>
                <w:lang w:val="en-US"/>
              </w:rPr>
              <w:t>住房改革支出</w:t>
            </w:r>
            <w:r>
              <w:rPr>
                <w:rFonts w:hint="eastAsia"/>
                <w:color w:val="000000"/>
                <w:sz w:val="18"/>
                <w:szCs w:val="18"/>
                <w:lang w:val="en-US"/>
              </w:rPr>
              <w:t>-</w:t>
            </w:r>
            <w:r>
              <w:rPr>
                <w:rFonts w:hint="eastAsia"/>
                <w:color w:val="000000"/>
                <w:sz w:val="18"/>
                <w:szCs w:val="18"/>
                <w:lang w:val="en-US"/>
              </w:rPr>
              <w:t>住房公积金</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60.5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120</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宁夏宁东能源化工基地管理委员会自然资源局本级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9112.1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691.4</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852.0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681.7</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7.48%</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9.7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7.4</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7.4</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-2.3</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-23.72%</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城乡社区规划与管理</w:t>
            </w:r>
            <w:r>
              <w:rPr>
                <w:rFonts w:hint="eastAsia"/>
                <w:color w:val="000000"/>
                <w:sz w:val="18"/>
                <w:szCs w:val="18"/>
                <w:lang w:val="en-US"/>
              </w:rPr>
              <w:t>-</w:t>
            </w:r>
            <w:r>
              <w:rPr>
                <w:rFonts w:hint="eastAsia"/>
                <w:color w:val="000000"/>
                <w:sz w:val="18"/>
                <w:szCs w:val="18"/>
                <w:lang w:val="en-US"/>
              </w:rPr>
              <w:t>城乡社区规划与管理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88.1</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2120399</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城乡社区公共设施</w:t>
            </w:r>
            <w:r>
              <w:rPr>
                <w:rFonts w:hint="eastAsia"/>
                <w:color w:val="000000"/>
                <w:sz w:val="18"/>
                <w:szCs w:val="18"/>
                <w:lang w:val="en-US"/>
              </w:rPr>
              <w:t>-</w:t>
            </w:r>
            <w:r>
              <w:rPr>
                <w:rFonts w:hint="eastAsia"/>
                <w:color w:val="000000"/>
                <w:sz w:val="18"/>
                <w:szCs w:val="18"/>
                <w:lang w:val="en-US"/>
              </w:rPr>
              <w:t>其他城乡社区公共设施支出</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8942.6</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2200102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自然资源海洋气象等支出</w:t>
            </w:r>
            <w:r>
              <w:rPr>
                <w:rFonts w:hint="eastAsia"/>
                <w:color w:val="000000"/>
                <w:sz w:val="18"/>
                <w:szCs w:val="18"/>
                <w:lang w:val="en-US"/>
              </w:rPr>
              <w:t>-</w:t>
            </w:r>
            <w:r>
              <w:rPr>
                <w:rFonts w:hint="eastAsia"/>
                <w:color w:val="000000"/>
                <w:sz w:val="18"/>
                <w:szCs w:val="18"/>
                <w:lang w:val="en-US"/>
              </w:rPr>
              <w:t>自然资源事务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565.0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565.0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565.0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2200104</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自然资源海洋气象等支出</w:t>
            </w:r>
            <w:r>
              <w:rPr>
                <w:rFonts w:hint="eastAsia"/>
                <w:color w:val="000000"/>
                <w:sz w:val="18"/>
                <w:szCs w:val="18"/>
                <w:lang w:val="en-US"/>
              </w:rPr>
              <w:t>-</w:t>
            </w:r>
            <w:r>
              <w:rPr>
                <w:rFonts w:hint="eastAsia"/>
                <w:color w:val="000000"/>
                <w:sz w:val="18"/>
                <w:szCs w:val="18"/>
                <w:lang w:val="en-US"/>
              </w:rPr>
              <w:t>自然资源事务</w:t>
            </w:r>
            <w:r>
              <w:rPr>
                <w:rFonts w:hint="eastAsia"/>
                <w:color w:val="000000"/>
                <w:sz w:val="18"/>
                <w:szCs w:val="18"/>
                <w:lang w:val="en-US"/>
              </w:rPr>
              <w:t>-</w:t>
            </w:r>
            <w:r>
              <w:rPr>
                <w:rFonts w:hint="eastAsia"/>
                <w:color w:val="000000"/>
                <w:sz w:val="18"/>
                <w:szCs w:val="18"/>
                <w:lang w:val="en-US"/>
              </w:rPr>
              <w:t>自然资源规划及管理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119.0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119.0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119.0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2200106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自然资源海洋气象等支出</w:t>
            </w:r>
            <w:r>
              <w:rPr>
                <w:rFonts w:hint="eastAsia"/>
                <w:color w:val="000000"/>
                <w:sz w:val="18"/>
                <w:szCs w:val="18"/>
                <w:lang w:val="en-US"/>
              </w:rPr>
              <w:t>-</w:t>
            </w:r>
            <w:r>
              <w:rPr>
                <w:rFonts w:hint="eastAsia"/>
                <w:color w:val="000000"/>
                <w:sz w:val="18"/>
                <w:szCs w:val="18"/>
                <w:lang w:val="en-US"/>
              </w:rPr>
              <w:t>自然资源事务</w:t>
            </w:r>
            <w:r>
              <w:rPr>
                <w:rFonts w:hint="eastAsia"/>
                <w:color w:val="000000"/>
                <w:sz w:val="18"/>
                <w:szCs w:val="18"/>
                <w:lang w:val="en-US"/>
              </w:rPr>
              <w:t>-</w:t>
            </w:r>
            <w:r>
              <w:rPr>
                <w:rFonts w:hint="eastAsia"/>
                <w:color w:val="000000"/>
                <w:sz w:val="18"/>
                <w:szCs w:val="18"/>
                <w:lang w:val="en-US"/>
              </w:rPr>
              <w:t>自然资源利用与保护</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71.7</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right"/>
              <w:textAlignment w:val="center"/>
              <w:rPr>
                <w:color w:val="000000"/>
                <w:sz w:val="18"/>
                <w:szCs w:val="18"/>
              </w:rPr>
            </w:pPr>
            <w:r>
              <w:rPr>
                <w:rFonts w:hint="eastAsia"/>
                <w:color w:val="000000"/>
                <w:sz w:val="18"/>
                <w:szCs w:val="18"/>
                <w:lang w:val="en-US"/>
              </w:rPr>
              <w:t>121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宁夏宁东能源化工基地建设工程质量监督站本级</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85.3</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176.8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173.8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203.63%</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lastRenderedPageBreak/>
              <w:t>2120101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行政运行</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3.0</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8.8</w:t>
            </w: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5.8</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192.62%</w:t>
            </w: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2120102</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一般行政管理事务</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168.0</w:t>
            </w: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168.0</w:t>
            </w: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2625D2">
            <w:pPr>
              <w:widowControl/>
              <w:jc w:val="right"/>
              <w:textAlignment w:val="bottom"/>
              <w:rPr>
                <w:color w:val="000000"/>
                <w:sz w:val="18"/>
                <w:szCs w:val="18"/>
              </w:rPr>
            </w:pPr>
            <w:r>
              <w:rPr>
                <w:rFonts w:hint="eastAsia"/>
                <w:color w:val="000000"/>
                <w:sz w:val="18"/>
                <w:szCs w:val="18"/>
                <w:lang w:val="en-US"/>
              </w:rPr>
              <w:t>168.0</w:t>
            </w: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2120106</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城乡社区管理事务</w:t>
            </w:r>
            <w:r>
              <w:rPr>
                <w:rFonts w:hint="eastAsia"/>
                <w:color w:val="000000"/>
                <w:sz w:val="18"/>
                <w:szCs w:val="18"/>
                <w:lang w:val="en-US"/>
              </w:rPr>
              <w:t>-</w:t>
            </w:r>
            <w:r>
              <w:rPr>
                <w:rFonts w:hint="eastAsia"/>
                <w:color w:val="000000"/>
                <w:sz w:val="18"/>
                <w:szCs w:val="18"/>
                <w:lang w:val="en-US"/>
              </w:rPr>
              <w:t>工程建设管理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75.8</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2120201</w:t>
            </w:r>
          </w:p>
        </w:tc>
        <w:tc>
          <w:tcPr>
            <w:tcW w:w="20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textAlignment w:val="center"/>
              <w:rPr>
                <w:color w:val="000000"/>
                <w:sz w:val="18"/>
                <w:szCs w:val="18"/>
              </w:rPr>
            </w:pPr>
            <w:r>
              <w:rPr>
                <w:rFonts w:hint="eastAsia"/>
                <w:color w:val="000000"/>
                <w:sz w:val="18"/>
                <w:szCs w:val="18"/>
                <w:lang w:val="en-US"/>
              </w:rPr>
              <w:t>城乡社区支出</w:t>
            </w:r>
            <w:r>
              <w:rPr>
                <w:rFonts w:hint="eastAsia"/>
                <w:color w:val="000000"/>
                <w:sz w:val="18"/>
                <w:szCs w:val="18"/>
                <w:lang w:val="en-US"/>
              </w:rPr>
              <w:t>-</w:t>
            </w:r>
            <w:r>
              <w:rPr>
                <w:rFonts w:hint="eastAsia"/>
                <w:color w:val="000000"/>
                <w:sz w:val="18"/>
                <w:szCs w:val="18"/>
                <w:lang w:val="en-US"/>
              </w:rPr>
              <w:t>城乡社区规划与管理</w:t>
            </w:r>
            <w:r>
              <w:rPr>
                <w:rFonts w:hint="eastAsia"/>
                <w:color w:val="000000"/>
                <w:sz w:val="18"/>
                <w:szCs w:val="18"/>
                <w:lang w:val="en-US"/>
              </w:rPr>
              <w:t>-</w:t>
            </w:r>
            <w:r>
              <w:rPr>
                <w:rFonts w:hint="eastAsia"/>
                <w:color w:val="000000"/>
                <w:sz w:val="18"/>
                <w:szCs w:val="18"/>
                <w:lang w:val="en-US"/>
              </w:rPr>
              <w:t>城乡社区规划与管理</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6.5</w:t>
            </w:r>
          </w:p>
        </w:tc>
        <w:tc>
          <w:tcPr>
            <w:tcW w:w="4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bl>
    <w:p w:rsidR="00B32044" w:rsidRDefault="00B32044">
      <w:pPr>
        <w:pStyle w:val="a4"/>
        <w:spacing w:before="100"/>
        <w:ind w:right="410"/>
        <w:jc w:val="both"/>
        <w:rPr>
          <w:rFonts w:ascii="仿宋_GB2312" w:eastAsia="仿宋_GB2312"/>
        </w:rPr>
      </w:pPr>
    </w:p>
    <w:p w:rsidR="00B32044" w:rsidRDefault="00B32044">
      <w:pPr>
        <w:pStyle w:val="a4"/>
        <w:rPr>
          <w:rFonts w:ascii="仿宋_GB2312"/>
          <w:sz w:val="20"/>
        </w:rPr>
      </w:pPr>
    </w:p>
    <w:p w:rsidR="00B32044" w:rsidRDefault="00B32044">
      <w:pPr>
        <w:pStyle w:val="a4"/>
        <w:rPr>
          <w:rFonts w:ascii="仿宋_GB2312"/>
          <w:sz w:val="20"/>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B32044">
      <w:pPr>
        <w:pStyle w:val="a4"/>
        <w:spacing w:before="7"/>
        <w:rPr>
          <w:rFonts w:ascii="仿宋_GB2312"/>
          <w:sz w:val="24"/>
        </w:rPr>
      </w:pPr>
    </w:p>
    <w:p w:rsidR="00B32044" w:rsidRDefault="002625D2">
      <w:pPr>
        <w:pStyle w:val="a4"/>
        <w:spacing w:before="55"/>
        <w:ind w:left="860"/>
        <w:rPr>
          <w:rFonts w:ascii="黑体" w:eastAsia="黑体"/>
        </w:rPr>
      </w:pPr>
      <w:r>
        <w:rPr>
          <w:rFonts w:ascii="黑体" w:eastAsia="黑体" w:hint="eastAsia"/>
        </w:rPr>
        <w:t>三、一般公共预算财政拨款基本支出预算表</w:t>
      </w:r>
    </w:p>
    <w:p w:rsidR="00B32044" w:rsidRDefault="002625D2">
      <w:pPr>
        <w:pStyle w:val="2"/>
        <w:spacing w:before="68"/>
        <w:ind w:right="410"/>
        <w:jc w:val="center"/>
      </w:pPr>
      <w:r>
        <w:t>一般公共预算财政拨款基本支出预算表</w:t>
      </w:r>
    </w:p>
    <w:p w:rsidR="00B32044" w:rsidRDefault="002625D2">
      <w:pPr>
        <w:pStyle w:val="a4"/>
        <w:spacing w:before="100"/>
        <w:ind w:left="11182" w:right="410"/>
        <w:jc w:val="center"/>
        <w:rPr>
          <w:rFonts w:ascii="仿宋_GB2312" w:eastAsia="仿宋_GB2312"/>
        </w:rPr>
      </w:pPr>
      <w:r>
        <w:rPr>
          <w:rFonts w:ascii="仿宋_GB2312" w:eastAsia="仿宋_GB2312" w:hint="eastAsia"/>
        </w:rPr>
        <w:t>单位：元</w:t>
      </w:r>
    </w:p>
    <w:p w:rsidR="00B32044" w:rsidRDefault="00B32044">
      <w:pPr>
        <w:pStyle w:val="a4"/>
        <w:rPr>
          <w:rFonts w:ascii="仿宋_GB2312"/>
          <w:sz w:val="20"/>
        </w:rPr>
      </w:pPr>
    </w:p>
    <w:p w:rsidR="00B32044" w:rsidRDefault="00B32044">
      <w:pPr>
        <w:pStyle w:val="a4"/>
        <w:rPr>
          <w:rFonts w:ascii="仿宋_GB2312"/>
          <w:sz w:val="22"/>
        </w:rPr>
      </w:pPr>
    </w:p>
    <w:tbl>
      <w:tblPr>
        <w:tblW w:w="4999" w:type="pct"/>
        <w:tblLook w:val="04A0" w:firstRow="1" w:lastRow="0" w:firstColumn="1" w:lastColumn="0" w:noHBand="0" w:noVBand="1"/>
      </w:tblPr>
      <w:tblGrid>
        <w:gridCol w:w="1443"/>
        <w:gridCol w:w="6545"/>
        <w:gridCol w:w="1696"/>
        <w:gridCol w:w="2107"/>
        <w:gridCol w:w="2922"/>
      </w:tblGrid>
      <w:tr w:rsidR="00B32044">
        <w:trPr>
          <w:trHeight w:val="285"/>
        </w:trPr>
        <w:tc>
          <w:tcPr>
            <w:tcW w:w="27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经济分类科目</w:t>
            </w:r>
          </w:p>
        </w:tc>
        <w:tc>
          <w:tcPr>
            <w:tcW w:w="228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基本支出预算</w:t>
            </w:r>
          </w:p>
        </w:tc>
      </w:tr>
      <w:tr w:rsidR="00B32044">
        <w:trPr>
          <w:trHeight w:val="28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科目编码</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科目名称</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合计</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人员支出</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日常公用支出</w:t>
            </w:r>
          </w:p>
        </w:tc>
      </w:tr>
      <w:tr w:rsidR="00B32044">
        <w:trPr>
          <w:trHeight w:val="260"/>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bCs/>
                <w:color w:val="000000"/>
                <w:sz w:val="18"/>
                <w:szCs w:val="18"/>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合计</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4554.5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4283.6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270.9</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宁夏宁东能源化工基地管理委员会办公室（审计办）本级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77.2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77.2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101001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宁夏宁东能源化工基地管理委员会办公室（审计办）本级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77.2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77.2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30231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公务用车运行维护费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对个人和家庭的补助</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41.2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41.2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30399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其他对个人和家庭的补助</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41.2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41.2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宁夏宁东能源化工基地管理委员会党群工作部（机关党委）本级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102001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宁夏宁东能源化工基地管理委员会党群工作部（机关党委）本级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5.6</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30239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其他交通费用</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宁夏宁东能源化工基地管理委员会经济发展局（统计局）本级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103001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宁夏宁东能源化工基地管理委员会经济发展局（统计局）本级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4.6</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310</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资本性支出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31002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办公设备购置</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104</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宁夏宁东能源化工基地管理委员会建设和交通局本级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104001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宁夏宁东能源化工基地管理委员会建设和交通局本级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咨询费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维修</w:t>
            </w:r>
            <w:r>
              <w:rPr>
                <w:rFonts w:hint="eastAsia"/>
                <w:bCs/>
                <w:color w:val="000000"/>
                <w:sz w:val="18"/>
                <w:szCs w:val="18"/>
                <w:lang w:val="en-US"/>
              </w:rPr>
              <w:t>(</w:t>
            </w:r>
            <w:r>
              <w:rPr>
                <w:rFonts w:hint="eastAsia"/>
                <w:bCs/>
                <w:color w:val="000000"/>
                <w:sz w:val="18"/>
                <w:szCs w:val="18"/>
                <w:lang w:val="en-US"/>
              </w:rPr>
              <w:t>护</w:t>
            </w:r>
            <w:r>
              <w:rPr>
                <w:rFonts w:hint="eastAsia"/>
                <w:bCs/>
                <w:color w:val="000000"/>
                <w:sz w:val="18"/>
                <w:szCs w:val="18"/>
                <w:lang w:val="en-US"/>
              </w:rPr>
              <w:t>)</w:t>
            </w:r>
            <w:r>
              <w:rPr>
                <w:rFonts w:hint="eastAsia"/>
                <w:bCs/>
                <w:color w:val="000000"/>
                <w:sz w:val="18"/>
                <w:szCs w:val="18"/>
                <w:lang w:val="en-US"/>
              </w:rPr>
              <w:t>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培训费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30227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委托业务费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105</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宁夏宁东能源化工基地管理委员会社会事务局本级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105001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宁夏宁东能源化工基地管理委员会社会事务局本级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3.6</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维修</w:t>
            </w:r>
            <w:r>
              <w:rPr>
                <w:rFonts w:hint="eastAsia"/>
                <w:bCs/>
                <w:color w:val="000000"/>
                <w:sz w:val="18"/>
                <w:szCs w:val="18"/>
                <w:lang w:val="en-US"/>
              </w:rPr>
              <w:t>(</w:t>
            </w:r>
            <w:r>
              <w:rPr>
                <w:rFonts w:hint="eastAsia"/>
                <w:bCs/>
                <w:color w:val="000000"/>
                <w:sz w:val="18"/>
                <w:szCs w:val="18"/>
                <w:lang w:val="en-US"/>
              </w:rPr>
              <w:t>护</w:t>
            </w:r>
            <w:r>
              <w:rPr>
                <w:rFonts w:hint="eastAsia"/>
                <w:bCs/>
                <w:color w:val="000000"/>
                <w:sz w:val="18"/>
                <w:szCs w:val="18"/>
                <w:lang w:val="en-US"/>
              </w:rPr>
              <w:t>)</w:t>
            </w:r>
            <w:r>
              <w:rPr>
                <w:rFonts w:hint="eastAsia"/>
                <w:bCs/>
                <w:color w:val="000000"/>
                <w:sz w:val="18"/>
                <w:szCs w:val="18"/>
                <w:lang w:val="en-US"/>
              </w:rPr>
              <w:t>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30214</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租赁费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宁夏宁东能源化工基地管理委员会财政金融局本级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106001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宁夏宁东能源化工基地管理委员会财政金融局本级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宁夏宁东能源化工基地管理委员会生态环境局本级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107001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宁夏宁东能源化工基地管理委员会生态环境局本级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奖金</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30204</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手续费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30215</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会议费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30216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培训费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30239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bCs/>
                <w:color w:val="000000"/>
                <w:sz w:val="18"/>
                <w:szCs w:val="1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108</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宁夏宁东能源化工基地管理委员会应急管理局本级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108001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宁夏宁东能源化工基地管理委员会应急管理局本级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19.2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110</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宁夏宁东能源化工基地管理委员会招商局本级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110001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宁夏宁东能源化工基地管理委员会招商局本级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维修</w:t>
            </w:r>
            <w:r>
              <w:rPr>
                <w:rFonts w:hint="eastAsia"/>
                <w:bCs/>
                <w:color w:val="000000"/>
                <w:sz w:val="18"/>
                <w:szCs w:val="18"/>
                <w:lang w:val="en-US"/>
              </w:rPr>
              <w:t>(</w:t>
            </w:r>
            <w:r>
              <w:rPr>
                <w:rFonts w:hint="eastAsia"/>
                <w:bCs/>
                <w:color w:val="000000"/>
                <w:sz w:val="18"/>
                <w:szCs w:val="18"/>
                <w:lang w:val="en-US"/>
              </w:rPr>
              <w:t>护</w:t>
            </w:r>
            <w:r>
              <w:rPr>
                <w:rFonts w:hint="eastAsia"/>
                <w:bCs/>
                <w:color w:val="000000"/>
                <w:sz w:val="18"/>
                <w:szCs w:val="18"/>
                <w:lang w:val="en-US"/>
              </w:rPr>
              <w:t>)</w:t>
            </w:r>
            <w:r>
              <w:rPr>
                <w:rFonts w:hint="eastAsia"/>
                <w:bCs/>
                <w:color w:val="000000"/>
                <w:sz w:val="18"/>
                <w:szCs w:val="18"/>
                <w:lang w:val="en-US"/>
              </w:rPr>
              <w:t>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30239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其他交通费用</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310</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资本性支出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0.6</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31002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办公设备购置</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0.6</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114</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宁夏宁东能源化工基地管理委员会纪检监察工委本级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114001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宁夏宁东能源化工基地管理委员会纪检监察工委本级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宁夏宁东能源化工基地管理委员会科技和信息化局本级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116001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宁夏宁东能源化工基地管理委员会科技和信息化局本级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0.1</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30215</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会议费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公务接待费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30226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劳务费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宁夏宁东能源化工基地管理委员会人力资源局本级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4349.6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4283.6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 xml:space="preserve">　</w:t>
            </w:r>
            <w:r>
              <w:rPr>
                <w:rFonts w:hint="eastAsia"/>
                <w:bCs/>
                <w:color w:val="000000"/>
                <w:sz w:val="18"/>
                <w:szCs w:val="18"/>
                <w:lang w:val="en-US"/>
              </w:rPr>
              <w:t>119001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宁夏宁东能源化工基地管理委员会人力资源局本级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4349.6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4283.6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工资福利支出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2995.1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2995.1</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基本工资</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586.4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586.4</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津贴补贴</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661.3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661.3</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奖金</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490.7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490.7</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绩效工资</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686.1</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686.1</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30108</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机关事业单位基本养老保险缴费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177.6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177.6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30109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职业年金缴费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88.8</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30110</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职工基本医疗保险缴费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97.7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97.7</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公务员医疗补助缴费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44.9</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44.9</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30112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其他社会保障缴费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32.2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32.2</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30113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住房公积金</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129.5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129.5</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1329.7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1263.6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66.0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30226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劳务费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1158.6</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1158.6</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30228</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工会经费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53.2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53.2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30239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其他交通费用</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105.0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105.0</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对个人和家庭的补助</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24.9</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24.9</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30305</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生活补助</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24.9</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24.9</w:t>
            </w: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120</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宁夏宁东能源化工基地管理委员会自然资源局本级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120001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宁夏宁东能源化工基地管理委员会自然资源局本级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7.4</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咨询费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2.3</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2.3</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维修</w:t>
            </w:r>
            <w:r>
              <w:rPr>
                <w:rFonts w:hint="eastAsia"/>
                <w:bCs/>
                <w:color w:val="000000"/>
                <w:sz w:val="18"/>
                <w:szCs w:val="18"/>
                <w:lang w:val="en-US"/>
              </w:rPr>
              <w:t>(</w:t>
            </w:r>
            <w:r>
              <w:rPr>
                <w:rFonts w:hint="eastAsia"/>
                <w:bCs/>
                <w:color w:val="000000"/>
                <w:sz w:val="18"/>
                <w:szCs w:val="18"/>
                <w:lang w:val="en-US"/>
              </w:rPr>
              <w:t>护</w:t>
            </w:r>
            <w:r>
              <w:rPr>
                <w:rFonts w:hint="eastAsia"/>
                <w:bCs/>
                <w:color w:val="000000"/>
                <w:sz w:val="18"/>
                <w:szCs w:val="18"/>
                <w:lang w:val="en-US"/>
              </w:rPr>
              <w:t>)</w:t>
            </w:r>
            <w:r>
              <w:rPr>
                <w:rFonts w:hint="eastAsia"/>
                <w:bCs/>
                <w:color w:val="000000"/>
                <w:sz w:val="18"/>
                <w:szCs w:val="18"/>
                <w:lang w:val="en-US"/>
              </w:rPr>
              <w:t>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30216</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培训费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30227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委托业务费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30299</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其他商品和服务支出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121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宁夏宁东能源化工基地建设工程质量监督站本级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121001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宁夏宁东能源化工基地建设工程质量监督站本级</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商品和服务支出</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8.8</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办公费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5.7</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5.7</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30202</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印刷费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0.2</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30207</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邮电费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30211</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差旅费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2.0</w:t>
            </w:r>
          </w:p>
        </w:tc>
      </w:tr>
      <w:tr w:rsidR="00B32044">
        <w:trPr>
          <w:trHeight w:val="315"/>
        </w:trPr>
        <w:tc>
          <w:tcPr>
            <w:tcW w:w="4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30213</w:t>
            </w:r>
          </w:p>
        </w:tc>
        <w:tc>
          <w:tcPr>
            <w:tcW w:w="2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维修</w:t>
            </w:r>
            <w:r>
              <w:rPr>
                <w:rFonts w:hint="eastAsia"/>
                <w:bCs/>
                <w:color w:val="000000"/>
                <w:sz w:val="18"/>
                <w:szCs w:val="18"/>
                <w:lang w:val="en-US"/>
              </w:rPr>
              <w:t>(</w:t>
            </w:r>
            <w:r>
              <w:rPr>
                <w:rFonts w:hint="eastAsia"/>
                <w:bCs/>
                <w:color w:val="000000"/>
                <w:sz w:val="18"/>
                <w:szCs w:val="18"/>
                <w:lang w:val="en-US"/>
              </w:rPr>
              <w:t>护</w:t>
            </w:r>
            <w:r>
              <w:rPr>
                <w:rFonts w:hint="eastAsia"/>
                <w:bCs/>
                <w:color w:val="000000"/>
                <w:sz w:val="18"/>
                <w:szCs w:val="18"/>
                <w:lang w:val="en-US"/>
              </w:rPr>
              <w:t>)</w:t>
            </w:r>
            <w:r>
              <w:rPr>
                <w:rFonts w:hint="eastAsia"/>
                <w:bCs/>
                <w:color w:val="000000"/>
                <w:sz w:val="18"/>
                <w:szCs w:val="18"/>
                <w:lang w:val="en-US"/>
              </w:rPr>
              <w:t>费</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c>
          <w:tcPr>
            <w:tcW w:w="7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0.5</w:t>
            </w:r>
          </w:p>
        </w:tc>
      </w:tr>
    </w:tbl>
    <w:p w:rsidR="00B32044" w:rsidRDefault="00B32044">
      <w:pPr>
        <w:jc w:val="right"/>
        <w:sectPr w:rsidR="00B32044">
          <w:pgSz w:w="16840" w:h="11910" w:orient="landscape"/>
          <w:pgMar w:top="1100" w:right="1120" w:bottom="1140" w:left="1220" w:header="0" w:footer="959" w:gutter="0"/>
          <w:cols w:space="720"/>
        </w:sect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spacing w:before="1"/>
        <w:rPr>
          <w:rFonts w:ascii="Times New Roman"/>
          <w:sz w:val="20"/>
        </w:rPr>
      </w:pPr>
    </w:p>
    <w:p w:rsidR="00B32044" w:rsidRDefault="00B32044">
      <w:pPr>
        <w:pStyle w:val="a4"/>
        <w:rPr>
          <w:rFonts w:ascii="Times New Roman"/>
          <w:sz w:val="20"/>
        </w:rPr>
      </w:pPr>
    </w:p>
    <w:p w:rsidR="00B32044" w:rsidRDefault="002625D2">
      <w:pPr>
        <w:pStyle w:val="a4"/>
        <w:spacing w:before="54"/>
        <w:rPr>
          <w:rFonts w:ascii="黑体" w:eastAsia="黑体" w:hAnsi="黑体"/>
        </w:rPr>
      </w:pPr>
      <w:r>
        <w:rPr>
          <w:rFonts w:ascii="黑体" w:eastAsia="黑体" w:hAnsi="黑体" w:hint="eastAsia"/>
        </w:rPr>
        <w:t>四、一般公共预算财政拨款“三公”经费支出预算表</w:t>
      </w:r>
    </w:p>
    <w:p w:rsidR="00B32044" w:rsidRDefault="002625D2">
      <w:pPr>
        <w:pStyle w:val="2"/>
        <w:spacing w:before="186"/>
        <w:ind w:left="939" w:right="410"/>
        <w:jc w:val="center"/>
      </w:pPr>
      <w:r>
        <w:t>一般公共预算财政拨款</w:t>
      </w:r>
      <w:r>
        <w:t>“</w:t>
      </w:r>
      <w:r>
        <w:t>三公</w:t>
      </w:r>
      <w:r>
        <w:t>”</w:t>
      </w:r>
      <w:r>
        <w:t>经费支出预算表</w:t>
      </w:r>
    </w:p>
    <w:p w:rsidR="00B32044" w:rsidRDefault="002625D2">
      <w:pPr>
        <w:pStyle w:val="a4"/>
        <w:spacing w:before="191"/>
        <w:ind w:left="12271" w:right="410"/>
        <w:jc w:val="center"/>
        <w:rPr>
          <w:rFonts w:ascii="仿宋_GB2312" w:eastAsia="仿宋_GB2312"/>
        </w:rPr>
      </w:pPr>
      <w:r>
        <w:rPr>
          <w:rFonts w:ascii="仿宋_GB2312" w:eastAsia="仿宋_GB2312" w:hint="eastAsia"/>
        </w:rPr>
        <w:t>单位：万元</w:t>
      </w:r>
    </w:p>
    <w:p w:rsidR="00B32044" w:rsidRDefault="00B32044">
      <w:pPr>
        <w:pStyle w:val="a4"/>
        <w:spacing w:before="2" w:after="1"/>
        <w:rPr>
          <w:rFonts w:ascii="仿宋_GB2312"/>
          <w:sz w:val="8"/>
        </w:rPr>
      </w:pPr>
    </w:p>
    <w:tbl>
      <w:tblPr>
        <w:tblW w:w="5000" w:type="pct"/>
        <w:tblLayout w:type="fixed"/>
        <w:tblLook w:val="04A0" w:firstRow="1" w:lastRow="0" w:firstColumn="1" w:lastColumn="0" w:noHBand="0" w:noVBand="1"/>
      </w:tblPr>
      <w:tblGrid>
        <w:gridCol w:w="796"/>
        <w:gridCol w:w="596"/>
        <w:gridCol w:w="1024"/>
        <w:gridCol w:w="444"/>
        <w:gridCol w:w="830"/>
        <w:gridCol w:w="951"/>
        <w:gridCol w:w="1042"/>
        <w:gridCol w:w="547"/>
        <w:gridCol w:w="1083"/>
        <w:gridCol w:w="412"/>
        <w:gridCol w:w="1127"/>
        <w:gridCol w:w="977"/>
        <w:gridCol w:w="839"/>
        <w:gridCol w:w="698"/>
        <w:gridCol w:w="936"/>
        <w:gridCol w:w="536"/>
        <w:gridCol w:w="939"/>
        <w:gridCol w:w="939"/>
      </w:tblGrid>
      <w:tr w:rsidR="00B32044">
        <w:trPr>
          <w:trHeight w:val="375"/>
        </w:trPr>
        <w:tc>
          <w:tcPr>
            <w:tcW w:w="1576"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 xml:space="preserve">2021 </w:t>
            </w:r>
            <w:r>
              <w:rPr>
                <w:rFonts w:hint="eastAsia"/>
                <w:bCs/>
                <w:color w:val="000000"/>
                <w:sz w:val="18"/>
                <w:szCs w:val="18"/>
                <w:lang w:val="en-US"/>
              </w:rPr>
              <w:t>年预算数</w:t>
            </w:r>
          </w:p>
        </w:tc>
        <w:tc>
          <w:tcPr>
            <w:tcW w:w="1763"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 xml:space="preserve">2021 </w:t>
            </w:r>
            <w:proofErr w:type="gramStart"/>
            <w:r>
              <w:rPr>
                <w:rFonts w:hint="eastAsia"/>
                <w:bCs/>
                <w:color w:val="000000"/>
                <w:sz w:val="18"/>
                <w:szCs w:val="18"/>
                <w:lang w:val="en-US"/>
              </w:rPr>
              <w:t>年执行</w:t>
            </w:r>
            <w:proofErr w:type="gramEnd"/>
            <w:r>
              <w:rPr>
                <w:rFonts w:hint="eastAsia"/>
                <w:bCs/>
                <w:color w:val="000000"/>
                <w:sz w:val="18"/>
                <w:szCs w:val="18"/>
                <w:lang w:val="en-US"/>
              </w:rPr>
              <w:t>数（决算数）</w:t>
            </w:r>
          </w:p>
        </w:tc>
        <w:tc>
          <w:tcPr>
            <w:tcW w:w="166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当年预算数</w:t>
            </w:r>
          </w:p>
        </w:tc>
      </w:tr>
      <w:tr w:rsidR="00B32044">
        <w:trPr>
          <w:trHeight w:val="405"/>
        </w:trPr>
        <w:tc>
          <w:tcPr>
            <w:tcW w:w="2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合计</w:t>
            </w:r>
          </w:p>
        </w:tc>
        <w:tc>
          <w:tcPr>
            <w:tcW w:w="2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因公出国（境）费</w:t>
            </w:r>
          </w:p>
        </w:tc>
        <w:tc>
          <w:tcPr>
            <w:tcW w:w="78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公务用车购置及运行费</w:t>
            </w:r>
          </w:p>
        </w:tc>
        <w:tc>
          <w:tcPr>
            <w:tcW w:w="3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公务接待费</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合计</w:t>
            </w:r>
          </w:p>
        </w:tc>
        <w:tc>
          <w:tcPr>
            <w:tcW w:w="1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因公出国（境）费</w:t>
            </w:r>
          </w:p>
        </w:tc>
        <w:tc>
          <w:tcPr>
            <w:tcW w:w="89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公务用车购置及运行费</w:t>
            </w:r>
          </w:p>
        </w:tc>
        <w:tc>
          <w:tcPr>
            <w:tcW w:w="3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公务接待费</w:t>
            </w:r>
          </w:p>
        </w:tc>
        <w:tc>
          <w:tcPr>
            <w:tcW w:w="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合计</w:t>
            </w:r>
          </w:p>
        </w:tc>
        <w:tc>
          <w:tcPr>
            <w:tcW w:w="2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因公出国（境）费</w:t>
            </w:r>
          </w:p>
        </w:tc>
        <w:tc>
          <w:tcPr>
            <w:tcW w:w="81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公务用车购置及运行费</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公务接待费</w:t>
            </w:r>
          </w:p>
        </w:tc>
      </w:tr>
      <w:tr w:rsidR="00B32044">
        <w:trPr>
          <w:trHeight w:val="510"/>
        </w:trPr>
        <w:tc>
          <w:tcPr>
            <w:tcW w:w="2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公务车辆购置费</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公车运行维护费</w:t>
            </w:r>
          </w:p>
        </w:tc>
        <w:tc>
          <w:tcPr>
            <w:tcW w:w="3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公务车辆购置费</w:t>
            </w: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公车运行维护费</w:t>
            </w:r>
          </w:p>
        </w:tc>
        <w:tc>
          <w:tcPr>
            <w:tcW w:w="3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8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1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公务车辆购置费</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公车运行维护费</w:t>
            </w:r>
          </w:p>
        </w:tc>
        <w:tc>
          <w:tcPr>
            <w:tcW w:w="3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r>
      <w:tr w:rsidR="00B32044">
        <w:trPr>
          <w:trHeight w:val="285"/>
        </w:trPr>
        <w:tc>
          <w:tcPr>
            <w:tcW w:w="270"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87.52</w:t>
            </w:r>
          </w:p>
        </w:tc>
        <w:tc>
          <w:tcPr>
            <w:tcW w:w="202"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30</w:t>
            </w:r>
          </w:p>
        </w:tc>
        <w:tc>
          <w:tcPr>
            <w:tcW w:w="348"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36</w:t>
            </w:r>
          </w:p>
        </w:tc>
        <w:tc>
          <w:tcPr>
            <w:tcW w:w="151"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0</w:t>
            </w:r>
          </w:p>
        </w:tc>
        <w:tc>
          <w:tcPr>
            <w:tcW w:w="281"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36</w:t>
            </w:r>
          </w:p>
        </w:tc>
        <w:tc>
          <w:tcPr>
            <w:tcW w:w="321"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21.52</w:t>
            </w:r>
          </w:p>
        </w:tc>
        <w:tc>
          <w:tcPr>
            <w:tcW w:w="354"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44.45</w:t>
            </w:r>
          </w:p>
        </w:tc>
        <w:tc>
          <w:tcPr>
            <w:tcW w:w="186"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0</w:t>
            </w:r>
          </w:p>
        </w:tc>
        <w:tc>
          <w:tcPr>
            <w:tcW w:w="368"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24.64</w:t>
            </w:r>
          </w:p>
        </w:tc>
        <w:tc>
          <w:tcPr>
            <w:tcW w:w="140"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0</w:t>
            </w:r>
          </w:p>
        </w:tc>
        <w:tc>
          <w:tcPr>
            <w:tcW w:w="382"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24.64</w:t>
            </w:r>
          </w:p>
        </w:tc>
        <w:tc>
          <w:tcPr>
            <w:tcW w:w="331" w:type="pct"/>
            <w:tcBorders>
              <w:top w:val="single" w:sz="4" w:space="0" w:color="000000"/>
              <w:left w:val="single" w:sz="4" w:space="0" w:color="000000"/>
              <w:bottom w:val="nil"/>
              <w:right w:val="single" w:sz="4" w:space="0" w:color="000000"/>
            </w:tcBorders>
            <w:shd w:val="clear" w:color="auto" w:fill="FFFFFF"/>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19.8</w:t>
            </w:r>
          </w:p>
        </w:tc>
        <w:tc>
          <w:tcPr>
            <w:tcW w:w="2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54.8</w:t>
            </w: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0</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36</w:t>
            </w: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0</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36</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lang w:val="en-US"/>
              </w:rPr>
            </w:pPr>
            <w:r>
              <w:rPr>
                <w:rFonts w:hint="eastAsia"/>
                <w:bCs/>
                <w:color w:val="000000"/>
                <w:sz w:val="18"/>
                <w:szCs w:val="18"/>
                <w:lang w:val="en-US"/>
              </w:rPr>
              <w:t>18.8</w:t>
            </w: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r w:rsidR="00B32044">
        <w:trPr>
          <w:trHeight w:val="285"/>
        </w:trPr>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rPr>
                <w:color w:val="000000"/>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widowControl/>
              <w:jc w:val="right"/>
              <w:textAlignment w:val="center"/>
              <w:rPr>
                <w:color w:val="000000"/>
                <w:sz w:val="20"/>
                <w:szCs w:val="20"/>
              </w:rPr>
            </w:pPr>
          </w:p>
        </w:tc>
        <w:tc>
          <w:tcPr>
            <w:tcW w:w="285" w:type="pct"/>
            <w:tcBorders>
              <w:top w:val="single" w:sz="4" w:space="0" w:color="000000"/>
              <w:left w:val="nil"/>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r>
    </w:tbl>
    <w:p w:rsidR="00B32044" w:rsidRDefault="00B32044">
      <w:pPr>
        <w:rPr>
          <w:rFonts w:ascii="Times New Roman"/>
          <w:sz w:val="24"/>
        </w:rPr>
        <w:sectPr w:rsidR="00B32044">
          <w:footerReference w:type="even" r:id="rId11"/>
          <w:footerReference w:type="default" r:id="rId12"/>
          <w:pgSz w:w="16840" w:h="11910" w:orient="landscape"/>
          <w:pgMar w:top="1100" w:right="1120" w:bottom="1060" w:left="1220" w:header="0" w:footer="879" w:gutter="0"/>
          <w:cols w:space="720"/>
        </w:sectPr>
      </w:pPr>
    </w:p>
    <w:p w:rsidR="00B32044" w:rsidRDefault="00B32044">
      <w:pPr>
        <w:pStyle w:val="a4"/>
        <w:rPr>
          <w:rFonts w:ascii="仿宋_GB2312"/>
          <w:sz w:val="20"/>
        </w:rPr>
      </w:pPr>
    </w:p>
    <w:p w:rsidR="00B32044" w:rsidRDefault="00B32044">
      <w:pPr>
        <w:pStyle w:val="a4"/>
        <w:rPr>
          <w:rFonts w:ascii="仿宋_GB2312"/>
          <w:sz w:val="20"/>
        </w:rPr>
      </w:pPr>
    </w:p>
    <w:p w:rsidR="00B32044" w:rsidRDefault="00B32044">
      <w:pPr>
        <w:pStyle w:val="a4"/>
        <w:rPr>
          <w:rFonts w:ascii="仿宋_GB2312"/>
          <w:sz w:val="20"/>
        </w:rPr>
      </w:pPr>
    </w:p>
    <w:p w:rsidR="00B32044" w:rsidRDefault="00B32044">
      <w:pPr>
        <w:pStyle w:val="a4"/>
        <w:rPr>
          <w:rFonts w:ascii="仿宋_GB2312"/>
          <w:sz w:val="20"/>
        </w:rPr>
      </w:pPr>
    </w:p>
    <w:p w:rsidR="00B32044" w:rsidRDefault="00B32044">
      <w:pPr>
        <w:pStyle w:val="a4"/>
        <w:spacing w:before="11"/>
        <w:rPr>
          <w:rFonts w:ascii="仿宋_GB2312"/>
          <w:sz w:val="26"/>
        </w:rPr>
      </w:pPr>
    </w:p>
    <w:p w:rsidR="00B32044" w:rsidRDefault="002625D2">
      <w:pPr>
        <w:pStyle w:val="a4"/>
        <w:spacing w:before="54"/>
        <w:ind w:left="846"/>
        <w:rPr>
          <w:rFonts w:ascii="黑体" w:eastAsia="黑体"/>
        </w:rPr>
      </w:pPr>
      <w:r>
        <w:rPr>
          <w:rFonts w:ascii="黑体" w:eastAsia="黑体" w:hint="eastAsia"/>
        </w:rPr>
        <w:t>五、政府性基金预算财政拨款支出预算表</w:t>
      </w:r>
    </w:p>
    <w:p w:rsidR="00B32044" w:rsidRDefault="002625D2">
      <w:pPr>
        <w:pStyle w:val="2"/>
        <w:spacing w:before="186"/>
        <w:ind w:left="936" w:right="410"/>
        <w:jc w:val="center"/>
      </w:pPr>
      <w:r>
        <w:t>政府性基金预算财政拨款支出预算表</w:t>
      </w:r>
    </w:p>
    <w:p w:rsidR="00B32044" w:rsidRDefault="002625D2">
      <w:pPr>
        <w:pStyle w:val="a4"/>
        <w:spacing w:before="191"/>
        <w:ind w:left="12360" w:right="321"/>
        <w:jc w:val="center"/>
        <w:rPr>
          <w:rFonts w:ascii="仿宋_GB2312" w:eastAsia="仿宋_GB2312"/>
        </w:rPr>
      </w:pPr>
      <w:r>
        <w:rPr>
          <w:rFonts w:ascii="仿宋_GB2312" w:eastAsia="仿宋_GB2312" w:hint="eastAsia"/>
        </w:rPr>
        <w:t>单位：万元</w:t>
      </w:r>
    </w:p>
    <w:p w:rsidR="00B32044" w:rsidRDefault="00B32044">
      <w:pPr>
        <w:pStyle w:val="a4"/>
        <w:spacing w:before="3"/>
        <w:rPr>
          <w:rFonts w:ascii="仿宋_GB2312"/>
          <w:sz w:val="8"/>
        </w:rPr>
      </w:pPr>
    </w:p>
    <w:tbl>
      <w:tblPr>
        <w:tblW w:w="4999" w:type="pct"/>
        <w:tblLook w:val="04A0" w:firstRow="1" w:lastRow="0" w:firstColumn="1" w:lastColumn="0" w:noHBand="0" w:noVBand="1"/>
      </w:tblPr>
      <w:tblGrid>
        <w:gridCol w:w="1319"/>
        <w:gridCol w:w="4353"/>
        <w:gridCol w:w="1540"/>
        <w:gridCol w:w="1543"/>
        <w:gridCol w:w="1539"/>
        <w:gridCol w:w="1474"/>
        <w:gridCol w:w="1471"/>
        <w:gridCol w:w="1474"/>
      </w:tblGrid>
      <w:tr w:rsidR="00B32044">
        <w:trPr>
          <w:trHeight w:val="495"/>
        </w:trPr>
        <w:tc>
          <w:tcPr>
            <w:tcW w:w="192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功能分类科目</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执行数（决算数）</w:t>
            </w:r>
          </w:p>
        </w:tc>
        <w:tc>
          <w:tcPr>
            <w:tcW w:w="15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w:t>
            </w:r>
          </w:p>
        </w:tc>
        <w:tc>
          <w:tcPr>
            <w:tcW w:w="10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预算数与执行数（决算数）</w:t>
            </w:r>
          </w:p>
        </w:tc>
      </w:tr>
      <w:tr w:rsidR="00B32044">
        <w:trPr>
          <w:trHeight w:val="495"/>
        </w:trPr>
        <w:tc>
          <w:tcPr>
            <w:tcW w:w="44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科目编码</w:t>
            </w:r>
          </w:p>
        </w:tc>
        <w:tc>
          <w:tcPr>
            <w:tcW w:w="14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科目名称</w:t>
            </w: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基本支出</w:t>
            </w:r>
          </w:p>
        </w:tc>
        <w:tc>
          <w:tcPr>
            <w:tcW w:w="5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项目支出</w:t>
            </w:r>
          </w:p>
        </w:tc>
        <w:tc>
          <w:tcPr>
            <w:tcW w:w="5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增减额</w:t>
            </w:r>
          </w:p>
        </w:tc>
        <w:tc>
          <w:tcPr>
            <w:tcW w:w="50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增减</w:t>
            </w:r>
            <w:r>
              <w:rPr>
                <w:rFonts w:hint="eastAsia"/>
                <w:bCs/>
                <w:color w:val="000000"/>
                <w:sz w:val="18"/>
                <w:szCs w:val="18"/>
                <w:lang w:val="en-US"/>
              </w:rPr>
              <w:t>%</w:t>
            </w:r>
          </w:p>
        </w:tc>
      </w:tr>
      <w:tr w:rsidR="00B32044">
        <w:trPr>
          <w:trHeight w:val="285"/>
        </w:trPr>
        <w:tc>
          <w:tcPr>
            <w:tcW w:w="44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center"/>
              <w:rPr>
                <w:bCs/>
                <w:color w:val="000000"/>
                <w:sz w:val="18"/>
                <w:szCs w:val="18"/>
              </w:rPr>
            </w:pPr>
          </w:p>
        </w:tc>
        <w:tc>
          <w:tcPr>
            <w:tcW w:w="14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2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50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center"/>
              <w:rPr>
                <w:bCs/>
                <w:color w:val="000000"/>
                <w:sz w:val="18"/>
                <w:szCs w:val="18"/>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bCs/>
                <w:color w:val="000000"/>
                <w:sz w:val="18"/>
                <w:szCs w:val="18"/>
              </w:rPr>
            </w:pPr>
          </w:p>
        </w:tc>
        <w:tc>
          <w:tcPr>
            <w:tcW w:w="1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Cs/>
                <w:color w:val="000000"/>
                <w:sz w:val="18"/>
                <w:szCs w:val="18"/>
              </w:rPr>
            </w:pPr>
          </w:p>
        </w:tc>
        <w:tc>
          <w:tcPr>
            <w:tcW w:w="523" w:type="pct"/>
            <w:tcBorders>
              <w:top w:val="single" w:sz="4" w:space="0" w:color="000000"/>
              <w:left w:val="single" w:sz="4" w:space="0" w:color="000000"/>
              <w:bottom w:val="nil"/>
              <w:right w:val="single" w:sz="4" w:space="0" w:color="000000"/>
            </w:tcBorders>
            <w:shd w:val="clear" w:color="auto" w:fill="FFFFFF"/>
            <w:noWrap/>
            <w:vAlign w:val="center"/>
          </w:tcPr>
          <w:p w:rsidR="00B32044" w:rsidRDefault="00B32044">
            <w:pPr>
              <w:rPr>
                <w:bCs/>
                <w:color w:val="000000"/>
                <w:sz w:val="18"/>
                <w:szCs w:val="18"/>
              </w:rPr>
            </w:pPr>
          </w:p>
        </w:tc>
        <w:tc>
          <w:tcPr>
            <w:tcW w:w="524" w:type="pct"/>
            <w:tcBorders>
              <w:top w:val="single" w:sz="4" w:space="0" w:color="000000"/>
              <w:left w:val="single" w:sz="4" w:space="0" w:color="000000"/>
              <w:bottom w:val="nil"/>
              <w:right w:val="single" w:sz="4" w:space="0" w:color="000000"/>
            </w:tcBorders>
            <w:shd w:val="clear" w:color="auto" w:fill="auto"/>
            <w:noWrap/>
            <w:vAlign w:val="center"/>
          </w:tcPr>
          <w:p w:rsidR="00B32044" w:rsidRDefault="00B32044">
            <w:pPr>
              <w:widowControl/>
              <w:jc w:val="right"/>
              <w:textAlignment w:val="center"/>
              <w:rPr>
                <w:bCs/>
                <w:color w:val="000000"/>
                <w:sz w:val="18"/>
                <w:szCs w:val="18"/>
              </w:rPr>
            </w:pPr>
          </w:p>
        </w:tc>
        <w:tc>
          <w:tcPr>
            <w:tcW w:w="523" w:type="pct"/>
            <w:tcBorders>
              <w:top w:val="single" w:sz="4" w:space="0" w:color="000000"/>
              <w:left w:val="single" w:sz="4" w:space="0" w:color="000000"/>
              <w:bottom w:val="nil"/>
              <w:right w:val="single" w:sz="4" w:space="0" w:color="000000"/>
            </w:tcBorders>
            <w:shd w:val="clear" w:color="auto" w:fill="auto"/>
            <w:noWrap/>
            <w:vAlign w:val="center"/>
          </w:tcPr>
          <w:p w:rsidR="00B32044" w:rsidRDefault="00B32044">
            <w:pPr>
              <w:jc w:val="right"/>
              <w:rPr>
                <w:bCs/>
                <w:color w:val="000000"/>
                <w:sz w:val="18"/>
                <w:szCs w:val="18"/>
              </w:rPr>
            </w:pPr>
          </w:p>
        </w:tc>
        <w:tc>
          <w:tcPr>
            <w:tcW w:w="500" w:type="pct"/>
            <w:tcBorders>
              <w:top w:val="single" w:sz="4" w:space="0" w:color="000000"/>
              <w:left w:val="single" w:sz="4" w:space="0" w:color="000000"/>
              <w:bottom w:val="nil"/>
              <w:right w:val="single" w:sz="4" w:space="0" w:color="000000"/>
            </w:tcBorders>
            <w:shd w:val="clear" w:color="auto" w:fill="auto"/>
            <w:noWrap/>
            <w:vAlign w:val="center"/>
          </w:tcPr>
          <w:p w:rsidR="00B32044" w:rsidRDefault="00B32044">
            <w:pPr>
              <w:widowControl/>
              <w:jc w:val="right"/>
              <w:textAlignment w:val="center"/>
              <w:rPr>
                <w:bCs/>
                <w:color w:val="000000"/>
                <w:sz w:val="18"/>
                <w:szCs w:val="18"/>
              </w:rPr>
            </w:pPr>
          </w:p>
        </w:tc>
        <w:tc>
          <w:tcPr>
            <w:tcW w:w="500" w:type="pct"/>
            <w:tcBorders>
              <w:top w:val="single" w:sz="4" w:space="0" w:color="000000"/>
              <w:left w:val="single" w:sz="4" w:space="0" w:color="000000"/>
              <w:bottom w:val="nil"/>
              <w:right w:val="single" w:sz="4" w:space="0" w:color="000000"/>
            </w:tcBorders>
            <w:shd w:val="clear" w:color="auto" w:fill="FFFFFF"/>
            <w:noWrap/>
            <w:vAlign w:val="center"/>
          </w:tcPr>
          <w:p w:rsidR="00B32044" w:rsidRDefault="00B32044">
            <w:pPr>
              <w:jc w:val="right"/>
              <w:rPr>
                <w:bCs/>
                <w:color w:val="000000"/>
                <w:sz w:val="18"/>
                <w:szCs w:val="18"/>
              </w:rPr>
            </w:pPr>
          </w:p>
        </w:tc>
        <w:tc>
          <w:tcPr>
            <w:tcW w:w="500" w:type="pct"/>
            <w:tcBorders>
              <w:top w:val="single" w:sz="4" w:space="0" w:color="000000"/>
              <w:left w:val="single" w:sz="4" w:space="0" w:color="000000"/>
              <w:bottom w:val="nil"/>
              <w:right w:val="single" w:sz="4" w:space="0" w:color="000000"/>
            </w:tcBorders>
            <w:shd w:val="clear" w:color="auto" w:fill="FFFFFF"/>
            <w:noWrap/>
            <w:vAlign w:val="center"/>
          </w:tcPr>
          <w:p w:rsidR="00B32044" w:rsidRDefault="00B32044">
            <w:pPr>
              <w:jc w:val="right"/>
              <w:rPr>
                <w:bCs/>
                <w:color w:val="000000"/>
                <w:sz w:val="18"/>
                <w:szCs w:val="18"/>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b/>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r w:rsidR="00B32044">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textAlignment w:val="center"/>
              <w:rPr>
                <w:color w:val="000000"/>
                <w:sz w:val="18"/>
                <w:szCs w:val="18"/>
              </w:rPr>
            </w:pPr>
          </w:p>
        </w:tc>
        <w:tc>
          <w:tcPr>
            <w:tcW w:w="1477" w:type="pct"/>
            <w:tcBorders>
              <w:top w:val="single" w:sz="4" w:space="0" w:color="000000"/>
              <w:left w:val="single" w:sz="4" w:space="0" w:color="000000"/>
              <w:bottom w:val="single" w:sz="4" w:space="0" w:color="000000"/>
              <w:right w:val="nil"/>
            </w:tcBorders>
            <w:shd w:val="clear" w:color="auto" w:fill="auto"/>
            <w:noWrap/>
            <w:vAlign w:val="center"/>
          </w:tcPr>
          <w:p w:rsidR="00B32044" w:rsidRDefault="00B32044">
            <w:pPr>
              <w:widowControl/>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color w:val="000000"/>
                <w:sz w:val="18"/>
                <w:szCs w:val="18"/>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rFonts w:ascii="Calibri" w:hAnsi="Calibri" w:cs="Calibri"/>
                <w:color w:val="000000"/>
              </w:rPr>
            </w:pPr>
          </w:p>
        </w:tc>
      </w:tr>
    </w:tbl>
    <w:p w:rsidR="00B32044" w:rsidRDefault="00B32044">
      <w:pPr>
        <w:rPr>
          <w:sz w:val="20"/>
        </w:rPr>
      </w:pPr>
    </w:p>
    <w:p w:rsidR="00B32044" w:rsidRDefault="00B32044">
      <w:pPr>
        <w:rPr>
          <w:sz w:val="20"/>
        </w:rPr>
      </w:pPr>
    </w:p>
    <w:p w:rsidR="00B32044" w:rsidRDefault="00B32044">
      <w:pPr>
        <w:rPr>
          <w:sz w:val="20"/>
        </w:rPr>
      </w:pPr>
    </w:p>
    <w:p w:rsidR="00B32044" w:rsidRDefault="002625D2">
      <w:pPr>
        <w:rPr>
          <w:sz w:val="20"/>
        </w:rPr>
      </w:pPr>
      <w:r>
        <w:rPr>
          <w:rFonts w:hint="eastAsia"/>
          <w:sz w:val="20"/>
        </w:rPr>
        <w:t>注：宁东基地管委会本级部门预算不涉及该表。</w:t>
      </w:r>
    </w:p>
    <w:p w:rsidR="00B32044" w:rsidRDefault="00B32044">
      <w:pPr>
        <w:spacing w:before="11"/>
        <w:rPr>
          <w:sz w:val="26"/>
        </w:rPr>
      </w:pPr>
    </w:p>
    <w:p w:rsidR="00B32044" w:rsidRDefault="00B32044">
      <w:pPr>
        <w:rPr>
          <w:sz w:val="26"/>
        </w:rPr>
        <w:sectPr w:rsidR="00B32044">
          <w:pgSz w:w="16840" w:h="11910" w:orient="landscape"/>
          <w:pgMar w:top="1100" w:right="1120" w:bottom="1140" w:left="1220" w:header="0" w:footer="879" w:gutter="0"/>
          <w:cols w:space="720"/>
        </w:sectPr>
      </w:pPr>
    </w:p>
    <w:p w:rsidR="00B32044" w:rsidRDefault="002625D2">
      <w:pPr>
        <w:pStyle w:val="a4"/>
        <w:spacing w:before="54"/>
        <w:ind w:left="860"/>
        <w:rPr>
          <w:rFonts w:ascii="黑体" w:eastAsia="黑体"/>
        </w:rPr>
      </w:pPr>
      <w:r>
        <w:rPr>
          <w:rFonts w:ascii="黑体" w:eastAsia="黑体" w:hint="eastAsia"/>
        </w:rPr>
        <w:lastRenderedPageBreak/>
        <w:t>六、部门收支预算总表</w:t>
      </w:r>
    </w:p>
    <w:p w:rsidR="00B32044" w:rsidRDefault="002625D2">
      <w:pPr>
        <w:pStyle w:val="a4"/>
        <w:spacing w:before="10"/>
        <w:rPr>
          <w:rFonts w:ascii="黑体"/>
          <w:sz w:val="50"/>
        </w:rPr>
      </w:pPr>
      <w:r>
        <w:br w:type="column"/>
      </w:r>
    </w:p>
    <w:p w:rsidR="00B32044" w:rsidRDefault="002625D2">
      <w:pPr>
        <w:pStyle w:val="2"/>
        <w:ind w:left="860"/>
      </w:pPr>
      <w:r>
        <w:t>部门收支预算总表</w:t>
      </w:r>
    </w:p>
    <w:p w:rsidR="00B32044" w:rsidRDefault="002625D2">
      <w:pPr>
        <w:pStyle w:val="a4"/>
        <w:rPr>
          <w:rFonts w:ascii="仿宋_GB2312"/>
          <w:b/>
        </w:rPr>
      </w:pPr>
      <w:r>
        <w:br w:type="column"/>
      </w:r>
    </w:p>
    <w:p w:rsidR="00B32044" w:rsidRDefault="00B32044">
      <w:pPr>
        <w:pStyle w:val="a4"/>
        <w:rPr>
          <w:rFonts w:ascii="仿宋_GB2312"/>
          <w:b/>
        </w:rPr>
      </w:pPr>
    </w:p>
    <w:p w:rsidR="00B32044" w:rsidRDefault="00B32044">
      <w:pPr>
        <w:pStyle w:val="a4"/>
        <w:spacing w:before="8"/>
        <w:rPr>
          <w:rFonts w:ascii="仿宋_GB2312"/>
          <w:b/>
          <w:sz w:val="37"/>
        </w:rPr>
      </w:pPr>
    </w:p>
    <w:p w:rsidR="00B32044" w:rsidRDefault="002625D2">
      <w:pPr>
        <w:pStyle w:val="a4"/>
        <w:ind w:left="860"/>
        <w:rPr>
          <w:rFonts w:ascii="仿宋_GB2312" w:eastAsia="仿宋_GB2312"/>
        </w:rPr>
      </w:pPr>
      <w:r>
        <w:rPr>
          <w:rFonts w:ascii="仿宋_GB2312" w:eastAsia="仿宋_GB2312" w:hint="eastAsia"/>
        </w:rPr>
        <w:t>单位：万元</w:t>
      </w:r>
    </w:p>
    <w:p w:rsidR="00B32044" w:rsidRDefault="00B32044">
      <w:pPr>
        <w:rPr>
          <w:rFonts w:ascii="仿宋_GB2312" w:eastAsia="仿宋_GB2312"/>
        </w:rPr>
        <w:sectPr w:rsidR="00B32044">
          <w:type w:val="continuous"/>
          <w:pgSz w:w="16840" w:h="11910" w:orient="landscape"/>
          <w:pgMar w:top="1580" w:right="1120" w:bottom="280" w:left="1220" w:header="720" w:footer="720" w:gutter="0"/>
          <w:cols w:num="3" w:space="720" w:equalWidth="0">
            <w:col w:w="4100" w:space="745"/>
            <w:col w:w="3791" w:space="2985"/>
            <w:col w:w="2879"/>
          </w:cols>
        </w:sectPr>
      </w:pPr>
    </w:p>
    <w:p w:rsidR="00B32044" w:rsidRDefault="00B32044">
      <w:pPr>
        <w:pStyle w:val="a4"/>
        <w:spacing w:before="3"/>
        <w:rPr>
          <w:rFonts w:ascii="仿宋_GB2312"/>
          <w:sz w:val="8"/>
        </w:rPr>
      </w:pPr>
    </w:p>
    <w:tbl>
      <w:tblPr>
        <w:tblW w:w="4999" w:type="pct"/>
        <w:tblLook w:val="04A0" w:firstRow="1" w:lastRow="0" w:firstColumn="1" w:lastColumn="0" w:noHBand="0" w:noVBand="1"/>
      </w:tblPr>
      <w:tblGrid>
        <w:gridCol w:w="6022"/>
        <w:gridCol w:w="1275"/>
        <w:gridCol w:w="6068"/>
        <w:gridCol w:w="1348"/>
      </w:tblGrid>
      <w:tr w:rsidR="00B32044">
        <w:trPr>
          <w:trHeight w:val="375"/>
        </w:trPr>
        <w:tc>
          <w:tcPr>
            <w:tcW w:w="24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收</w:t>
            </w:r>
            <w:r>
              <w:rPr>
                <w:rFonts w:hint="eastAsia"/>
                <w:bCs/>
                <w:color w:val="000000"/>
                <w:sz w:val="18"/>
                <w:szCs w:val="18"/>
                <w:lang w:val="en-US"/>
              </w:rPr>
              <w:t xml:space="preserve">     </w:t>
            </w:r>
            <w:r>
              <w:rPr>
                <w:rFonts w:hint="eastAsia"/>
                <w:bCs/>
                <w:color w:val="000000"/>
                <w:sz w:val="18"/>
                <w:szCs w:val="18"/>
                <w:lang w:val="en-US"/>
              </w:rPr>
              <w:t>入</w:t>
            </w:r>
          </w:p>
        </w:tc>
        <w:tc>
          <w:tcPr>
            <w:tcW w:w="25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支</w:t>
            </w:r>
            <w:r>
              <w:rPr>
                <w:rFonts w:hint="eastAsia"/>
                <w:bCs/>
                <w:color w:val="000000"/>
                <w:sz w:val="18"/>
                <w:szCs w:val="18"/>
                <w:lang w:val="en-US"/>
              </w:rPr>
              <w:t xml:space="preserve">     </w:t>
            </w:r>
            <w:r>
              <w:rPr>
                <w:rFonts w:hint="eastAsia"/>
                <w:bCs/>
                <w:color w:val="000000"/>
                <w:sz w:val="18"/>
                <w:szCs w:val="18"/>
                <w:lang w:val="en-US"/>
              </w:rPr>
              <w:t>出</w:t>
            </w:r>
          </w:p>
        </w:tc>
      </w:tr>
      <w:tr w:rsidR="00B32044">
        <w:trPr>
          <w:trHeight w:val="33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项目</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项目</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预算数</w:t>
            </w: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一、财政拨款预算收入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12463.5</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一、行政支出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12463.5</w:t>
            </w: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w:t>
            </w:r>
            <w:r>
              <w:rPr>
                <w:rFonts w:hint="eastAsia"/>
                <w:bCs/>
                <w:color w:val="000000"/>
                <w:sz w:val="18"/>
                <w:szCs w:val="18"/>
                <w:lang w:val="en-US"/>
              </w:rPr>
              <w:t>1</w:t>
            </w:r>
            <w:r>
              <w:rPr>
                <w:rFonts w:hint="eastAsia"/>
                <w:bCs/>
                <w:color w:val="000000"/>
                <w:sz w:val="18"/>
                <w:szCs w:val="18"/>
                <w:lang w:val="en-US"/>
              </w:rPr>
              <w:t>）一般公共预算财政拨款收入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bCs/>
                <w:color w:val="000000"/>
                <w:sz w:val="18"/>
                <w:szCs w:val="18"/>
                <w:lang w:val="en-US"/>
              </w:rPr>
              <w:t>12463.5</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 xml:space="preserve">    </w:t>
            </w:r>
            <w:r>
              <w:rPr>
                <w:rFonts w:hint="eastAsia"/>
                <w:bCs/>
                <w:color w:val="000000"/>
                <w:sz w:val="18"/>
                <w:szCs w:val="18"/>
                <w:lang w:val="en-US"/>
              </w:rPr>
              <w:t>其中：财政拨款支出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本级安排</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一般公共预算财政拨款支出</w:t>
            </w:r>
            <w:r>
              <w:rPr>
                <w:rFonts w:hint="eastAsia"/>
                <w:color w:val="000000"/>
                <w:sz w:val="18"/>
                <w:szCs w:val="18"/>
                <w:lang w:val="en-US"/>
              </w:rPr>
              <w:t xml:space="preserve">   </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上级转移支付</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2</w:t>
            </w:r>
            <w:r>
              <w:rPr>
                <w:rFonts w:hint="eastAsia"/>
                <w:color w:val="000000"/>
                <w:sz w:val="18"/>
                <w:szCs w:val="18"/>
                <w:lang w:val="en-US"/>
              </w:rPr>
              <w:t>）</w:t>
            </w:r>
            <w:r>
              <w:rPr>
                <w:rFonts w:hint="eastAsia"/>
                <w:color w:val="000000"/>
                <w:sz w:val="18"/>
                <w:szCs w:val="18"/>
                <w:lang w:val="en-US"/>
              </w:rPr>
              <w:t xml:space="preserve"> </w:t>
            </w:r>
            <w:r>
              <w:rPr>
                <w:rFonts w:hint="eastAsia"/>
                <w:color w:val="000000"/>
                <w:sz w:val="18"/>
                <w:szCs w:val="18"/>
                <w:lang w:val="en-US"/>
              </w:rPr>
              <w:t>政府性基金预算财政拨款收入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非同级财政拨款支出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本级安排</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本级横向转拨财政款</w:t>
            </w:r>
            <w:r>
              <w:rPr>
                <w:rFonts w:hint="eastAsia"/>
                <w:color w:val="000000"/>
                <w:sz w:val="18"/>
                <w:szCs w:val="18"/>
                <w:lang w:val="en-US"/>
              </w:rPr>
              <w:t xml:space="preserve"> </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上级转移支付</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二、事业预算收入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二、事业支出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其中：非同级财政拨款（科研及辅助活动）</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教育收费</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一般公共预算财政拨款支出</w:t>
            </w:r>
            <w:r>
              <w:rPr>
                <w:rFonts w:hint="eastAsia"/>
                <w:color w:val="000000"/>
                <w:sz w:val="18"/>
                <w:szCs w:val="18"/>
                <w:lang w:val="en-US"/>
              </w:rPr>
              <w:t xml:space="preserve">   </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三、上级补助预算收入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四、附属单位上缴预算收入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非同级财政拨款支出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五、经营预算收入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本级横向转拨财政款</w:t>
            </w:r>
            <w:r>
              <w:rPr>
                <w:rFonts w:hint="eastAsia"/>
                <w:color w:val="000000"/>
                <w:sz w:val="18"/>
                <w:szCs w:val="18"/>
                <w:lang w:val="en-US"/>
              </w:rPr>
              <w:t xml:space="preserve"> </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六、债务预算收入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七、非同级财政拨款预算收入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三、经营支出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1</w:t>
            </w:r>
            <w:r>
              <w:rPr>
                <w:rFonts w:hint="eastAsia"/>
                <w:color w:val="000000"/>
                <w:sz w:val="18"/>
                <w:szCs w:val="18"/>
                <w:lang w:val="en-US"/>
              </w:rPr>
              <w:t>）本级横向转拨财政款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四、上缴上级支出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2</w:t>
            </w:r>
            <w:r>
              <w:rPr>
                <w:rFonts w:hint="eastAsia"/>
                <w:color w:val="000000"/>
                <w:sz w:val="18"/>
                <w:szCs w:val="18"/>
                <w:lang w:val="en-US"/>
              </w:rPr>
              <w:t>）非本级财政拨款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五、对附属单位补助支出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八、投资预算收益</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六、投资支出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九、其他预算收入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七、债务还本支出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color w:val="000000"/>
                <w:sz w:val="18"/>
                <w:szCs w:val="18"/>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八、其他支出</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本年收入合计</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本年支出合计</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center"/>
              <w:rPr>
                <w:color w:val="000000"/>
                <w:sz w:val="18"/>
                <w:szCs w:val="18"/>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center"/>
              <w:rPr>
                <w:color w:val="000000"/>
                <w:sz w:val="18"/>
                <w:szCs w:val="1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lastRenderedPageBreak/>
              <w:t>十、上年结转</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九、年末结转结余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1</w:t>
            </w:r>
            <w:r>
              <w:rPr>
                <w:rFonts w:hint="eastAsia"/>
                <w:color w:val="000000"/>
                <w:sz w:val="18"/>
                <w:szCs w:val="18"/>
                <w:lang w:val="en-US"/>
              </w:rPr>
              <w:t>）财政拨款结转</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1</w:t>
            </w:r>
            <w:r>
              <w:rPr>
                <w:rFonts w:hint="eastAsia"/>
                <w:color w:val="000000"/>
                <w:sz w:val="18"/>
                <w:szCs w:val="18"/>
                <w:lang w:val="en-US"/>
              </w:rPr>
              <w:t>）财政拨款结转</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其中：一般公共预算财政拨款收入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其中：一般公共预算财政拨款收入</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政府性基金预算财政拨款收入</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2</w:t>
            </w:r>
            <w:r>
              <w:rPr>
                <w:rFonts w:hint="eastAsia"/>
                <w:color w:val="000000"/>
                <w:sz w:val="18"/>
                <w:szCs w:val="18"/>
                <w:lang w:val="en-US"/>
              </w:rPr>
              <w:t>）非财政拨款结转</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2</w:t>
            </w:r>
            <w:r>
              <w:rPr>
                <w:rFonts w:hint="eastAsia"/>
                <w:color w:val="000000"/>
                <w:sz w:val="18"/>
                <w:szCs w:val="18"/>
                <w:lang w:val="en-US"/>
              </w:rPr>
              <w:t>）财政拨款结余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其中：本级横向转拨财政款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其中：一般公共预算财政拨款收入</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政府性基金预算财政拨款收入</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十一、上年结余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3</w:t>
            </w:r>
            <w:r>
              <w:rPr>
                <w:rFonts w:hint="eastAsia"/>
                <w:color w:val="000000"/>
                <w:sz w:val="18"/>
                <w:szCs w:val="18"/>
                <w:lang w:val="en-US"/>
              </w:rPr>
              <w:t>）非财政拨款结转</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1</w:t>
            </w:r>
            <w:r>
              <w:rPr>
                <w:rFonts w:hint="eastAsia"/>
                <w:color w:val="000000"/>
                <w:sz w:val="18"/>
                <w:szCs w:val="18"/>
                <w:lang w:val="en-US"/>
              </w:rPr>
              <w:t>）财政拨款结余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其中：本级横向转拨财政款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其中：一般公共预算财政拨款收入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政府性基金预算财政拨款收入</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4</w:t>
            </w:r>
            <w:r>
              <w:rPr>
                <w:rFonts w:hint="eastAsia"/>
                <w:color w:val="000000"/>
                <w:sz w:val="18"/>
                <w:szCs w:val="18"/>
                <w:lang w:val="en-US"/>
              </w:rPr>
              <w:t>）非财政拨款结余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2</w:t>
            </w:r>
            <w:r>
              <w:rPr>
                <w:rFonts w:hint="eastAsia"/>
                <w:color w:val="000000"/>
                <w:sz w:val="18"/>
                <w:szCs w:val="18"/>
                <w:lang w:val="en-US"/>
              </w:rPr>
              <w:t>）非财政拨款结余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其中：本级横向转拨财政款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其中：本级横向转拨财政款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非本级财政拨款</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5</w:t>
            </w:r>
            <w:r>
              <w:rPr>
                <w:rFonts w:hint="eastAsia"/>
                <w:color w:val="000000"/>
                <w:sz w:val="18"/>
                <w:szCs w:val="18"/>
                <w:lang w:val="en-US"/>
              </w:rPr>
              <w:t>）专用结余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3</w:t>
            </w:r>
            <w:r>
              <w:rPr>
                <w:rFonts w:hint="eastAsia"/>
                <w:color w:val="000000"/>
                <w:sz w:val="18"/>
                <w:szCs w:val="18"/>
                <w:lang w:val="en-US"/>
              </w:rPr>
              <w:t>）专用结余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6</w:t>
            </w:r>
            <w:r>
              <w:rPr>
                <w:rFonts w:hint="eastAsia"/>
                <w:color w:val="000000"/>
                <w:sz w:val="18"/>
                <w:szCs w:val="18"/>
                <w:lang w:val="en-US"/>
              </w:rPr>
              <w:t>）经营结余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 xml:space="preserve">    </w:t>
            </w:r>
            <w:r>
              <w:rPr>
                <w:rFonts w:hint="eastAsia"/>
                <w:color w:val="000000"/>
                <w:sz w:val="18"/>
                <w:szCs w:val="18"/>
                <w:lang w:val="en-US"/>
              </w:rPr>
              <w:t>（</w:t>
            </w:r>
            <w:r>
              <w:rPr>
                <w:rFonts w:hint="eastAsia"/>
                <w:color w:val="000000"/>
                <w:sz w:val="18"/>
                <w:szCs w:val="18"/>
                <w:lang w:val="en-US"/>
              </w:rPr>
              <w:t>4</w:t>
            </w:r>
            <w:r>
              <w:rPr>
                <w:rFonts w:hint="eastAsia"/>
                <w:color w:val="000000"/>
                <w:sz w:val="18"/>
                <w:szCs w:val="18"/>
                <w:lang w:val="en-US"/>
              </w:rPr>
              <w:t>）经营结余</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color w:val="000000"/>
                <w:sz w:val="18"/>
                <w:szCs w:val="1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rPr>
                <w:color w:val="000000"/>
                <w:sz w:val="18"/>
                <w:szCs w:val="18"/>
              </w:rPr>
            </w:pP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32044" w:rsidRDefault="00B32044">
            <w:pPr>
              <w:jc w:val="right"/>
              <w:rPr>
                <w:color w:val="000000"/>
                <w:sz w:val="18"/>
                <w:szCs w:val="18"/>
              </w:rPr>
            </w:pPr>
          </w:p>
        </w:tc>
      </w:tr>
      <w:tr w:rsidR="00B32044">
        <w:trPr>
          <w:trHeight w:val="300"/>
        </w:trPr>
        <w:tc>
          <w:tcPr>
            <w:tcW w:w="20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收入总计</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c>
          <w:tcPr>
            <w:tcW w:w="20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center"/>
              <w:textAlignment w:val="center"/>
              <w:rPr>
                <w:color w:val="000000"/>
                <w:sz w:val="18"/>
                <w:szCs w:val="18"/>
              </w:rPr>
            </w:pPr>
            <w:r>
              <w:rPr>
                <w:rFonts w:hint="eastAsia"/>
                <w:color w:val="000000"/>
                <w:sz w:val="18"/>
                <w:szCs w:val="18"/>
                <w:lang w:val="en-US"/>
              </w:rPr>
              <w:t>支出总计</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rPr>
              <w:t>12463.5</w:t>
            </w:r>
          </w:p>
        </w:tc>
      </w:tr>
    </w:tbl>
    <w:p w:rsidR="00B32044" w:rsidRDefault="00B32044">
      <w:pPr>
        <w:rPr>
          <w:rFonts w:ascii="Times New Roman"/>
        </w:rPr>
        <w:sectPr w:rsidR="00B32044">
          <w:type w:val="continuous"/>
          <w:pgSz w:w="16840" w:h="11910" w:orient="landscape"/>
          <w:pgMar w:top="1580" w:right="1120" w:bottom="280" w:left="1220" w:header="720" w:footer="720" w:gutter="0"/>
          <w:cols w:space="720"/>
        </w:sect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spacing w:before="1"/>
        <w:rPr>
          <w:rFonts w:ascii="Times New Roman"/>
          <w:sz w:val="20"/>
        </w:rPr>
      </w:pPr>
    </w:p>
    <w:p w:rsidR="00B32044" w:rsidRDefault="00B32044">
      <w:pPr>
        <w:pStyle w:val="a4"/>
        <w:rPr>
          <w:rFonts w:ascii="Times New Roman"/>
          <w:sz w:val="20"/>
        </w:rPr>
      </w:pPr>
    </w:p>
    <w:p w:rsidR="00B32044" w:rsidRDefault="00B32044">
      <w:pPr>
        <w:pStyle w:val="a4"/>
        <w:rPr>
          <w:rFonts w:ascii="Times New Roman"/>
          <w:sz w:val="20"/>
        </w:rPr>
      </w:pPr>
    </w:p>
    <w:p w:rsidR="00B32044" w:rsidRDefault="00B32044">
      <w:pPr>
        <w:pStyle w:val="a4"/>
        <w:spacing w:before="9"/>
        <w:rPr>
          <w:rFonts w:ascii="Times New Roman"/>
          <w:sz w:val="24"/>
        </w:rPr>
      </w:pPr>
    </w:p>
    <w:p w:rsidR="00B32044" w:rsidRDefault="00B32044">
      <w:pPr>
        <w:rPr>
          <w:rFonts w:ascii="Times New Roman"/>
          <w:sz w:val="24"/>
        </w:rPr>
        <w:sectPr w:rsidR="00B32044">
          <w:pgSz w:w="16840" w:h="11910" w:orient="landscape"/>
          <w:pgMar w:top="1100" w:right="1120" w:bottom="1140" w:left="1220" w:header="0" w:footer="879" w:gutter="0"/>
          <w:cols w:space="720"/>
        </w:sectPr>
      </w:pPr>
    </w:p>
    <w:p w:rsidR="00B32044" w:rsidRDefault="002625D2">
      <w:pPr>
        <w:pStyle w:val="a4"/>
        <w:spacing w:before="55"/>
        <w:ind w:left="954"/>
        <w:rPr>
          <w:rFonts w:ascii="黑体" w:eastAsia="黑体"/>
        </w:rPr>
      </w:pPr>
      <w:r>
        <w:rPr>
          <w:rFonts w:ascii="黑体" w:eastAsia="黑体" w:hint="eastAsia"/>
        </w:rPr>
        <w:lastRenderedPageBreak/>
        <w:t>七、部门收入预算表</w:t>
      </w:r>
    </w:p>
    <w:p w:rsidR="00B32044" w:rsidRDefault="002625D2">
      <w:pPr>
        <w:pStyle w:val="a4"/>
        <w:spacing w:before="10"/>
        <w:rPr>
          <w:rFonts w:ascii="黑体"/>
          <w:sz w:val="50"/>
        </w:rPr>
      </w:pPr>
      <w:r>
        <w:br w:type="column"/>
      </w:r>
    </w:p>
    <w:p w:rsidR="00B32044" w:rsidRDefault="002625D2">
      <w:pPr>
        <w:pStyle w:val="2"/>
        <w:ind w:left="954"/>
      </w:pPr>
      <w:r>
        <w:t>部门收入预算表</w:t>
      </w:r>
    </w:p>
    <w:p w:rsidR="00B32044" w:rsidRDefault="002625D2">
      <w:pPr>
        <w:pStyle w:val="a4"/>
        <w:rPr>
          <w:rFonts w:ascii="仿宋_GB2312"/>
          <w:b/>
        </w:rPr>
      </w:pPr>
      <w:r>
        <w:br w:type="column"/>
      </w:r>
    </w:p>
    <w:p w:rsidR="00B32044" w:rsidRDefault="00B32044">
      <w:pPr>
        <w:pStyle w:val="a4"/>
        <w:rPr>
          <w:rFonts w:ascii="仿宋_GB2312"/>
          <w:b/>
        </w:rPr>
      </w:pPr>
    </w:p>
    <w:p w:rsidR="00B32044" w:rsidRDefault="00B32044">
      <w:pPr>
        <w:pStyle w:val="a4"/>
        <w:spacing w:before="8"/>
        <w:rPr>
          <w:rFonts w:ascii="仿宋_GB2312"/>
          <w:b/>
          <w:sz w:val="37"/>
        </w:rPr>
      </w:pPr>
    </w:p>
    <w:p w:rsidR="00B32044" w:rsidRDefault="002625D2">
      <w:pPr>
        <w:pStyle w:val="a4"/>
        <w:spacing w:before="1"/>
        <w:ind w:left="954"/>
        <w:rPr>
          <w:rFonts w:ascii="仿宋_GB2312" w:eastAsia="仿宋_GB2312"/>
        </w:rPr>
      </w:pPr>
      <w:r>
        <w:rPr>
          <w:rFonts w:ascii="仿宋_GB2312" w:eastAsia="仿宋_GB2312" w:hint="eastAsia"/>
        </w:rPr>
        <w:t>单位：万元</w:t>
      </w:r>
    </w:p>
    <w:p w:rsidR="00B32044" w:rsidRDefault="00B32044">
      <w:pPr>
        <w:rPr>
          <w:rFonts w:ascii="仿宋_GB2312" w:eastAsia="仿宋_GB2312"/>
        </w:rPr>
        <w:sectPr w:rsidR="00B32044">
          <w:type w:val="continuous"/>
          <w:pgSz w:w="16840" w:h="11910" w:orient="landscape"/>
          <w:pgMar w:top="1580" w:right="1120" w:bottom="280" w:left="1220" w:header="720" w:footer="720" w:gutter="0"/>
          <w:cols w:num="3" w:space="720" w:equalWidth="0">
            <w:col w:w="3875" w:space="1057"/>
            <w:col w:w="3525" w:space="2699"/>
            <w:col w:w="3344"/>
          </w:cols>
        </w:sectPr>
      </w:pPr>
    </w:p>
    <w:p w:rsidR="00B32044" w:rsidRDefault="00B32044">
      <w:pPr>
        <w:pStyle w:val="a4"/>
        <w:rPr>
          <w:rFonts w:ascii="仿宋_GB2312"/>
          <w:sz w:val="20"/>
        </w:rPr>
      </w:pPr>
    </w:p>
    <w:tbl>
      <w:tblPr>
        <w:tblW w:w="4998" w:type="pct"/>
        <w:tblLook w:val="04A0" w:firstRow="1" w:lastRow="0" w:firstColumn="1" w:lastColumn="0" w:noHBand="0" w:noVBand="1"/>
      </w:tblPr>
      <w:tblGrid>
        <w:gridCol w:w="778"/>
        <w:gridCol w:w="5256"/>
        <w:gridCol w:w="846"/>
        <w:gridCol w:w="846"/>
        <w:gridCol w:w="846"/>
        <w:gridCol w:w="628"/>
        <w:gridCol w:w="431"/>
        <w:gridCol w:w="756"/>
        <w:gridCol w:w="437"/>
        <w:gridCol w:w="431"/>
        <w:gridCol w:w="431"/>
        <w:gridCol w:w="431"/>
        <w:gridCol w:w="431"/>
        <w:gridCol w:w="431"/>
        <w:gridCol w:w="432"/>
        <w:gridCol w:w="435"/>
        <w:gridCol w:w="432"/>
        <w:gridCol w:w="432"/>
      </w:tblGrid>
      <w:tr w:rsidR="00B32044">
        <w:trPr>
          <w:trHeight w:val="285"/>
        </w:trPr>
        <w:tc>
          <w:tcPr>
            <w:tcW w:w="3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单位编码</w:t>
            </w:r>
          </w:p>
        </w:tc>
        <w:tc>
          <w:tcPr>
            <w:tcW w:w="12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单位名称</w:t>
            </w:r>
          </w:p>
        </w:tc>
        <w:tc>
          <w:tcPr>
            <w:tcW w:w="2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本年收入合计</w:t>
            </w:r>
          </w:p>
        </w:tc>
        <w:tc>
          <w:tcPr>
            <w:tcW w:w="7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财政拨款预算收入</w:t>
            </w:r>
          </w:p>
        </w:tc>
        <w:tc>
          <w:tcPr>
            <w:tcW w:w="6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事业预算收入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上级补助预算收入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附属单位上缴预算收入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经营预算收入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债务预算收入</w:t>
            </w:r>
          </w:p>
        </w:tc>
        <w:tc>
          <w:tcPr>
            <w:tcW w:w="58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非同级财政拨款预算收入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投资预算收益</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其他预算收入</w:t>
            </w:r>
          </w:p>
        </w:tc>
      </w:tr>
      <w:tr w:rsidR="00B32044">
        <w:trPr>
          <w:trHeight w:val="420"/>
        </w:trPr>
        <w:tc>
          <w:tcPr>
            <w:tcW w:w="31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2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2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一般公共财政预算拨款收入</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政府性基金预算拨款收入</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p>
        </w:tc>
        <w:tc>
          <w:tcPr>
            <w:tcW w:w="4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其中：</w:t>
            </w: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小计</w:t>
            </w:r>
            <w:r>
              <w:rPr>
                <w:rFonts w:hint="eastAsia"/>
                <w:bCs/>
                <w:color w:val="000000"/>
                <w:sz w:val="18"/>
                <w:szCs w:val="18"/>
                <w:lang w:val="en-US"/>
              </w:rPr>
              <w:t xml:space="preserve"> </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本级横向转拨财政款</w:t>
            </w:r>
          </w:p>
        </w:tc>
        <w:tc>
          <w:tcPr>
            <w:tcW w:w="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本级横向财政拨款</w:t>
            </w: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r>
      <w:tr w:rsidR="00B32044">
        <w:trPr>
          <w:trHeight w:val="675"/>
        </w:trPr>
        <w:tc>
          <w:tcPr>
            <w:tcW w:w="31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2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非同级财政拨款（科研及辅助活动））</w:t>
            </w:r>
          </w:p>
        </w:tc>
        <w:tc>
          <w:tcPr>
            <w:tcW w:w="1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bCs/>
                <w:color w:val="000000"/>
                <w:sz w:val="18"/>
                <w:szCs w:val="18"/>
              </w:rPr>
            </w:pPr>
            <w:r>
              <w:rPr>
                <w:rFonts w:hint="eastAsia"/>
                <w:bCs/>
                <w:color w:val="000000"/>
                <w:sz w:val="18"/>
                <w:szCs w:val="18"/>
                <w:lang w:val="en-US"/>
              </w:rPr>
              <w:t>教育收费</w:t>
            </w: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c>
          <w:tcPr>
            <w:tcW w:w="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B32044">
            <w:pPr>
              <w:jc w:val="center"/>
              <w:rPr>
                <w:bCs/>
                <w:color w:val="000000"/>
                <w:sz w:val="18"/>
                <w:szCs w:val="18"/>
              </w:rPr>
            </w:pPr>
          </w:p>
        </w:tc>
      </w:tr>
      <w:tr w:rsidR="00B32044">
        <w:trPr>
          <w:trHeight w:val="28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bCs/>
                <w:color w:val="000000"/>
                <w:sz w:val="18"/>
                <w:szCs w:val="18"/>
              </w:rPr>
            </w:pP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合计</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12463.5</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12463.5</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12463.5</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101</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宁夏宁东能源化工基地管理委员会办公室（审计办）本级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1728.2</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1728.2</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1728.2</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102</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宁夏宁东能源化工基地管理委员会党群工作部（机关党委）本级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560.3</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560.3</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560.3</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103</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宁夏宁东能源化工基地管理委员会经济发展局（统计局）本级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1001.5</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1001.5</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1001.5</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104</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宁夏宁东能源化工基地管理委员会建设和交通局本级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478.8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478.8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478.8</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105</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宁夏宁东能源化工基地管理委员会社会事务局本级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679.4</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679.4</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679.4</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106</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宁夏宁东能源化工基地管理委员会财政金融局本级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150.0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150.0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150.0</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107</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宁夏宁东能源化工基地管理委员会生态环境局本级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490.1</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490.1</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490.1</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108</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宁夏宁东能源化工基地管理委员会应急管理局本级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944.2</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944.2</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944.2</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110</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宁夏宁东能源化工基地管理委员会招商局本级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432.8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432.8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432.8</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114</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宁夏宁东能源化工基地管理委员会纪检监察工委本级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65.8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65.8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65.8</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lastRenderedPageBreak/>
              <w:t>116</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宁夏宁东能源化工基地管理委员会科技和信息化局本级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604.7</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604.7</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604.7</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119</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宁夏宁东能源化工基地管理委员会人力资源局本级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4459.6</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4459.6</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4459.6</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120</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宁夏宁东能源化工基地管理委员会自然资源局本级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691.4</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691.4</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691.4</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widowControl/>
              <w:jc w:val="right"/>
              <w:textAlignment w:val="center"/>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r w:rsidR="00B32044">
        <w:trPr>
          <w:trHeight w:val="315"/>
        </w:trPr>
        <w:tc>
          <w:tcPr>
            <w:tcW w:w="31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121</w:t>
            </w:r>
          </w:p>
        </w:tc>
        <w:tc>
          <w:tcPr>
            <w:tcW w:w="12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bCs/>
                <w:color w:val="000000"/>
                <w:sz w:val="18"/>
                <w:szCs w:val="18"/>
              </w:rPr>
            </w:pPr>
            <w:r>
              <w:rPr>
                <w:rFonts w:hint="eastAsia"/>
                <w:bCs/>
                <w:color w:val="000000"/>
                <w:sz w:val="18"/>
                <w:szCs w:val="18"/>
                <w:lang w:val="en-US"/>
              </w:rPr>
              <w:t>宁夏宁东能源化工基地建设工程质量监督站本级</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176.8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176.8</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bCs/>
                <w:color w:val="000000"/>
                <w:sz w:val="18"/>
                <w:szCs w:val="18"/>
              </w:rPr>
            </w:pPr>
            <w:r>
              <w:rPr>
                <w:rFonts w:hint="eastAsia"/>
                <w:color w:val="000000"/>
                <w:sz w:val="18"/>
                <w:szCs w:val="18"/>
                <w:lang w:val="en-US" w:bidi="ar"/>
              </w:rPr>
              <w:t>176.8</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Cs/>
                <w:color w:val="000000"/>
                <w:sz w:val="18"/>
                <w:szCs w:val="18"/>
              </w:rPr>
            </w:pPr>
          </w:p>
        </w:tc>
      </w:tr>
    </w:tbl>
    <w:p w:rsidR="00B32044" w:rsidRDefault="00B32044">
      <w:pPr>
        <w:pStyle w:val="a4"/>
        <w:ind w:firstLine="720"/>
        <w:rPr>
          <w:rFonts w:ascii="仿宋_GB2312"/>
          <w:sz w:val="20"/>
        </w:rPr>
      </w:pPr>
    </w:p>
    <w:p w:rsidR="00B32044" w:rsidRDefault="00B32044">
      <w:pPr>
        <w:pStyle w:val="a4"/>
        <w:spacing w:before="10"/>
        <w:rPr>
          <w:rFonts w:ascii="仿宋_GB2312"/>
          <w:sz w:val="16"/>
        </w:rPr>
      </w:pPr>
    </w:p>
    <w:p w:rsidR="00B32044" w:rsidRDefault="00B32044">
      <w:pPr>
        <w:rPr>
          <w:rFonts w:ascii="Times New Roman"/>
        </w:rPr>
        <w:sectPr w:rsidR="00B32044">
          <w:type w:val="continuous"/>
          <w:pgSz w:w="16840" w:h="11910" w:orient="landscape"/>
          <w:pgMar w:top="1580" w:right="1120" w:bottom="280" w:left="1220" w:header="720" w:footer="720" w:gutter="0"/>
          <w:cols w:space="720"/>
        </w:sectPr>
      </w:pPr>
    </w:p>
    <w:p w:rsidR="00B32044" w:rsidRDefault="00B32044">
      <w:pPr>
        <w:pStyle w:val="a4"/>
        <w:rPr>
          <w:rFonts w:ascii="仿宋_GB2312"/>
          <w:sz w:val="20"/>
        </w:rPr>
      </w:pPr>
    </w:p>
    <w:p w:rsidR="00B32044" w:rsidRDefault="00B32044">
      <w:pPr>
        <w:pStyle w:val="a4"/>
        <w:rPr>
          <w:rFonts w:ascii="仿宋_GB2312"/>
          <w:sz w:val="20"/>
        </w:rPr>
      </w:pPr>
    </w:p>
    <w:p w:rsidR="00B32044" w:rsidRDefault="00B32044">
      <w:pPr>
        <w:pStyle w:val="a4"/>
        <w:spacing w:before="2"/>
        <w:rPr>
          <w:rFonts w:ascii="仿宋_GB2312"/>
          <w:sz w:val="18"/>
        </w:rPr>
      </w:pPr>
    </w:p>
    <w:p w:rsidR="00B32044" w:rsidRDefault="00B32044">
      <w:pPr>
        <w:rPr>
          <w:rFonts w:ascii="仿宋_GB2312"/>
          <w:sz w:val="18"/>
        </w:rPr>
        <w:sectPr w:rsidR="00B32044">
          <w:pgSz w:w="16840" w:h="11910" w:orient="landscape"/>
          <w:pgMar w:top="1100" w:right="1120" w:bottom="1060" w:left="1220" w:header="0" w:footer="879" w:gutter="0"/>
          <w:cols w:space="720"/>
        </w:sectPr>
      </w:pPr>
    </w:p>
    <w:p w:rsidR="00B32044" w:rsidRDefault="002625D2">
      <w:pPr>
        <w:pStyle w:val="a4"/>
        <w:spacing w:before="54"/>
        <w:ind w:left="846"/>
        <w:rPr>
          <w:rFonts w:ascii="黑体" w:eastAsia="黑体"/>
        </w:rPr>
      </w:pPr>
      <w:r>
        <w:rPr>
          <w:rFonts w:ascii="黑体" w:eastAsia="黑体" w:hint="eastAsia"/>
        </w:rPr>
        <w:lastRenderedPageBreak/>
        <w:t>八、部门支出预算表</w:t>
      </w:r>
    </w:p>
    <w:p w:rsidR="00B32044" w:rsidRDefault="002625D2">
      <w:pPr>
        <w:pStyle w:val="a4"/>
        <w:spacing w:before="10"/>
        <w:rPr>
          <w:rFonts w:ascii="黑体"/>
          <w:sz w:val="50"/>
        </w:rPr>
      </w:pPr>
      <w:r>
        <w:br w:type="column"/>
      </w:r>
    </w:p>
    <w:p w:rsidR="00B32044" w:rsidRDefault="002625D2">
      <w:pPr>
        <w:pStyle w:val="2"/>
        <w:ind w:left="846"/>
      </w:pPr>
      <w:r>
        <w:t>部门支出预算表</w:t>
      </w:r>
    </w:p>
    <w:p w:rsidR="00B32044" w:rsidRDefault="002625D2">
      <w:pPr>
        <w:pStyle w:val="a4"/>
        <w:rPr>
          <w:rFonts w:ascii="仿宋_GB2312"/>
          <w:b/>
        </w:rPr>
      </w:pPr>
      <w:r>
        <w:br w:type="column"/>
      </w:r>
    </w:p>
    <w:p w:rsidR="00B32044" w:rsidRDefault="00B32044">
      <w:pPr>
        <w:pStyle w:val="a4"/>
        <w:rPr>
          <w:rFonts w:ascii="仿宋_GB2312"/>
          <w:b/>
        </w:rPr>
      </w:pPr>
    </w:p>
    <w:p w:rsidR="00B32044" w:rsidRDefault="00B32044">
      <w:pPr>
        <w:pStyle w:val="a4"/>
        <w:spacing w:before="8"/>
        <w:rPr>
          <w:rFonts w:ascii="仿宋_GB2312"/>
          <w:b/>
          <w:sz w:val="37"/>
        </w:rPr>
      </w:pPr>
    </w:p>
    <w:p w:rsidR="00B32044" w:rsidRDefault="002625D2">
      <w:pPr>
        <w:pStyle w:val="a4"/>
        <w:ind w:left="846"/>
        <w:rPr>
          <w:rFonts w:ascii="仿宋_GB2312" w:eastAsia="仿宋_GB2312"/>
        </w:rPr>
      </w:pPr>
      <w:r>
        <w:rPr>
          <w:rFonts w:ascii="仿宋_GB2312" w:eastAsia="仿宋_GB2312" w:hint="eastAsia"/>
        </w:rPr>
        <w:t>单位：万元</w:t>
      </w:r>
    </w:p>
    <w:p w:rsidR="00B32044" w:rsidRDefault="00B32044">
      <w:pPr>
        <w:rPr>
          <w:rFonts w:ascii="仿宋_GB2312" w:eastAsia="仿宋_GB2312"/>
        </w:rPr>
        <w:sectPr w:rsidR="00B32044">
          <w:type w:val="continuous"/>
          <w:pgSz w:w="16840" w:h="11910" w:orient="landscape"/>
          <w:pgMar w:top="1580" w:right="1120" w:bottom="280" w:left="1220" w:header="720" w:footer="720" w:gutter="0"/>
          <w:cols w:num="3" w:space="720" w:equalWidth="0">
            <w:col w:w="3767" w:space="1273"/>
            <w:col w:w="3417" w:space="2917"/>
            <w:col w:w="3126"/>
          </w:cols>
        </w:sectPr>
      </w:pPr>
    </w:p>
    <w:p w:rsidR="00B32044" w:rsidRDefault="00B32044">
      <w:pPr>
        <w:pStyle w:val="a4"/>
        <w:spacing w:before="3"/>
        <w:rPr>
          <w:rFonts w:ascii="仿宋_GB2312"/>
          <w:sz w:val="8"/>
        </w:rPr>
      </w:pPr>
    </w:p>
    <w:tbl>
      <w:tblPr>
        <w:tblW w:w="4999" w:type="pct"/>
        <w:tblLook w:val="04A0" w:firstRow="1" w:lastRow="0" w:firstColumn="1" w:lastColumn="0" w:noHBand="0" w:noVBand="1"/>
      </w:tblPr>
      <w:tblGrid>
        <w:gridCol w:w="1121"/>
        <w:gridCol w:w="5256"/>
        <w:gridCol w:w="926"/>
        <w:gridCol w:w="926"/>
        <w:gridCol w:w="926"/>
        <w:gridCol w:w="926"/>
        <w:gridCol w:w="926"/>
        <w:gridCol w:w="926"/>
        <w:gridCol w:w="926"/>
        <w:gridCol w:w="927"/>
        <w:gridCol w:w="927"/>
      </w:tblGrid>
      <w:tr w:rsidR="00B32044">
        <w:trPr>
          <w:trHeight w:val="630"/>
        </w:trPr>
        <w:tc>
          <w:tcPr>
            <w:tcW w:w="4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单位编码</w:t>
            </w:r>
          </w:p>
        </w:tc>
        <w:tc>
          <w:tcPr>
            <w:tcW w:w="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单位名称</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本年支出合计</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行政支出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事业支出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经营支出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上缴上级支出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对附属单位补助支出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投资支出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债务还本支出</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32044" w:rsidRDefault="002625D2">
            <w:pPr>
              <w:widowControl/>
              <w:jc w:val="center"/>
              <w:textAlignment w:val="center"/>
              <w:rPr>
                <w:color w:val="000000"/>
                <w:sz w:val="18"/>
                <w:szCs w:val="18"/>
              </w:rPr>
            </w:pPr>
            <w:r>
              <w:rPr>
                <w:rFonts w:hint="eastAsia"/>
                <w:color w:val="000000"/>
                <w:sz w:val="18"/>
                <w:szCs w:val="18"/>
                <w:lang w:val="en-US"/>
              </w:rPr>
              <w:t>其他支出</w:t>
            </w:r>
          </w:p>
        </w:tc>
      </w:tr>
      <w:tr w:rsidR="00B32044">
        <w:trPr>
          <w:trHeight w:val="28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rPr>
                <w:color w:val="000000"/>
                <w:sz w:val="18"/>
                <w:szCs w:val="18"/>
              </w:rPr>
            </w:pP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合计</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12463.5</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12463.5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101</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宁夏宁东能源化工基地管理委员会办公室（审计办）本级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1728.2</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1728.2</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102</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宁夏宁东能源化工基地管理委员会党群工作部（机关党委）本级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560.3</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560.3</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103</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宁夏宁东能源化工基地管理委员会经济发展局（统计局）本级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1001.5</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1001.5</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104</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宁夏宁东能源化工基地管理委员会建设和交通局本级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478.8</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478.8</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105</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宁夏宁东能源化工基地管理委员会社会事务局本级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679.4</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679.4</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106</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宁夏宁东能源化工基地管理委员会财政金融局本级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150.0</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150.0</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107</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宁夏宁东能源化工基地管理委员会生态环境局本级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490.1</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490.1</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108</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宁夏宁东能源化工基地管理委员会应急管理局本级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944.2</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944.2</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110</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宁夏宁东能源化工基地管理委员会招商局本级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432.8</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432.8</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114</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宁夏宁东能源化工基地管理委员会纪检监察工委本级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65.8</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65.8</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116</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宁夏宁东能源化工基地管理委员会科技和信息化局本级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604.7</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604.7</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119</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宁夏宁东能源化工基地管理委员会人力资源局本级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4459.6</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4459.6</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120</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宁夏宁东能源化工基地管理委员会自然资源局本级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691.4</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691.4</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r w:rsidR="00B32044">
        <w:trPr>
          <w:trHeight w:val="315"/>
        </w:trPr>
        <w:tc>
          <w:tcPr>
            <w:tcW w:w="4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121</w:t>
            </w:r>
          </w:p>
        </w:tc>
        <w:tc>
          <w:tcPr>
            <w:tcW w:w="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textAlignment w:val="center"/>
              <w:rPr>
                <w:color w:val="000000"/>
                <w:sz w:val="18"/>
                <w:szCs w:val="18"/>
              </w:rPr>
            </w:pPr>
            <w:r>
              <w:rPr>
                <w:rFonts w:hint="eastAsia"/>
                <w:color w:val="000000"/>
                <w:sz w:val="18"/>
                <w:szCs w:val="18"/>
                <w:lang w:val="en-US"/>
              </w:rPr>
              <w:t>宁夏宁东能源化工基地建设工程质量监督站本级</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176.8</w:t>
            </w: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2625D2">
            <w:pPr>
              <w:widowControl/>
              <w:jc w:val="right"/>
              <w:textAlignment w:val="center"/>
              <w:rPr>
                <w:color w:val="000000"/>
                <w:sz w:val="18"/>
                <w:szCs w:val="18"/>
              </w:rPr>
            </w:pPr>
            <w:r>
              <w:rPr>
                <w:rFonts w:hint="eastAsia"/>
                <w:color w:val="000000"/>
                <w:sz w:val="18"/>
                <w:szCs w:val="18"/>
                <w:lang w:val="en-US" w:bidi="ar"/>
              </w:rPr>
              <w:t>176.8</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32044" w:rsidRDefault="00B32044">
            <w:pPr>
              <w:jc w:val="right"/>
              <w:rPr>
                <w:b/>
                <w:color w:val="000000"/>
                <w:sz w:val="18"/>
                <w:szCs w:val="18"/>
              </w:rPr>
            </w:pPr>
          </w:p>
        </w:tc>
      </w:tr>
    </w:tbl>
    <w:p w:rsidR="00B32044" w:rsidRDefault="00B32044">
      <w:pPr>
        <w:jc w:val="center"/>
        <w:sectPr w:rsidR="00B32044">
          <w:type w:val="continuous"/>
          <w:pgSz w:w="16840" w:h="11910" w:orient="landscape"/>
          <w:pgMar w:top="1580" w:right="1120" w:bottom="280" w:left="1220" w:header="720" w:footer="720" w:gutter="0"/>
          <w:cols w:space="720"/>
        </w:sectPr>
      </w:pPr>
    </w:p>
    <w:p w:rsidR="00B32044" w:rsidRDefault="002625D2">
      <w:pPr>
        <w:pStyle w:val="1"/>
        <w:spacing w:line="720" w:lineRule="exact"/>
        <w:jc w:val="center"/>
        <w:rPr>
          <w:rFonts w:ascii="仿宋_GB2312" w:eastAsia="仿宋_GB2312"/>
          <w:sz w:val="36"/>
          <w:szCs w:val="36"/>
        </w:rPr>
      </w:pPr>
      <w:r>
        <w:rPr>
          <w:rFonts w:ascii="仿宋_GB2312" w:eastAsia="仿宋_GB2312" w:hint="eastAsia"/>
          <w:sz w:val="36"/>
          <w:szCs w:val="36"/>
        </w:rPr>
        <w:lastRenderedPageBreak/>
        <w:t>宁东基地管委会</w:t>
      </w:r>
      <w:r>
        <w:rPr>
          <w:rFonts w:ascii="仿宋_GB2312" w:eastAsia="仿宋_GB2312" w:hAnsi="Times New Roman" w:hint="eastAsia"/>
          <w:sz w:val="36"/>
          <w:szCs w:val="36"/>
        </w:rPr>
        <w:t xml:space="preserve">2022 </w:t>
      </w:r>
      <w:proofErr w:type="gramStart"/>
      <w:r>
        <w:rPr>
          <w:rFonts w:ascii="仿宋_GB2312" w:eastAsia="仿宋_GB2312" w:hint="eastAsia"/>
          <w:sz w:val="36"/>
          <w:szCs w:val="36"/>
        </w:rPr>
        <w:t>年部门</w:t>
      </w:r>
      <w:proofErr w:type="gramEnd"/>
      <w:r>
        <w:rPr>
          <w:rFonts w:ascii="仿宋_GB2312" w:eastAsia="仿宋_GB2312" w:hint="eastAsia"/>
          <w:sz w:val="36"/>
          <w:szCs w:val="36"/>
        </w:rPr>
        <w:t>预算情况说明</w:t>
      </w:r>
    </w:p>
    <w:p w:rsidR="00B32044" w:rsidRDefault="002625D2">
      <w:pPr>
        <w:pStyle w:val="a4"/>
        <w:spacing w:before="205" w:line="364" w:lineRule="auto"/>
        <w:ind w:left="106" w:right="220" w:firstLine="660"/>
        <w:rPr>
          <w:rFonts w:ascii="黑体" w:eastAsia="黑体"/>
        </w:rPr>
      </w:pPr>
      <w:r>
        <w:rPr>
          <w:rFonts w:ascii="黑体" w:eastAsia="黑体" w:hint="eastAsia"/>
        </w:rPr>
        <w:t>一、关于</w:t>
      </w:r>
      <w:r>
        <w:rPr>
          <w:rFonts w:ascii="黑体" w:eastAsia="黑体" w:hint="eastAsia"/>
        </w:rPr>
        <w:t xml:space="preserve"> 2022 </w:t>
      </w:r>
      <w:r>
        <w:rPr>
          <w:rFonts w:ascii="黑体" w:eastAsia="黑体" w:hint="eastAsia"/>
        </w:rPr>
        <w:t>年财政拨款收支预算情况的总体说明</w:t>
      </w:r>
    </w:p>
    <w:p w:rsidR="00B32044" w:rsidRDefault="002625D2" w:rsidP="00AB2094">
      <w:pPr>
        <w:pStyle w:val="a4"/>
        <w:spacing w:line="560" w:lineRule="exact"/>
        <w:ind w:firstLineChars="200" w:firstLine="624"/>
        <w:rPr>
          <w:rFonts w:ascii="仿宋_GB2312" w:eastAsia="仿宋_GB2312"/>
          <w:spacing w:val="-8"/>
        </w:rPr>
      </w:pPr>
      <w:r>
        <w:rPr>
          <w:rFonts w:ascii="仿宋_GB2312" w:eastAsia="仿宋_GB2312" w:hint="eastAsia"/>
          <w:spacing w:val="-8"/>
        </w:rPr>
        <w:t xml:space="preserve">2022 </w:t>
      </w:r>
      <w:r>
        <w:rPr>
          <w:rFonts w:ascii="仿宋_GB2312" w:eastAsia="仿宋_GB2312" w:hint="eastAsia"/>
          <w:spacing w:val="-8"/>
        </w:rPr>
        <w:t>年财政拨款收入预算总计</w:t>
      </w:r>
      <w:r>
        <w:rPr>
          <w:rFonts w:ascii="仿宋_GB2312" w:eastAsia="仿宋_GB2312" w:hint="eastAsia"/>
          <w:spacing w:val="-8"/>
        </w:rPr>
        <w:t xml:space="preserve"> </w:t>
      </w:r>
      <w:r>
        <w:rPr>
          <w:rFonts w:ascii="仿宋_GB2312" w:eastAsia="仿宋_GB2312" w:hint="eastAsia"/>
          <w:spacing w:val="-8"/>
          <w:lang w:val="en-US"/>
        </w:rPr>
        <w:t>12463.47</w:t>
      </w:r>
      <w:r>
        <w:rPr>
          <w:rFonts w:ascii="仿宋_GB2312" w:eastAsia="仿宋_GB2312" w:hint="eastAsia"/>
          <w:spacing w:val="-8"/>
          <w:lang w:val="en-US"/>
        </w:rPr>
        <w:t>万</w:t>
      </w:r>
      <w:r>
        <w:rPr>
          <w:rFonts w:ascii="仿宋_GB2312" w:eastAsia="仿宋_GB2312" w:hint="eastAsia"/>
          <w:spacing w:val="-8"/>
        </w:rPr>
        <w:t>元，其中：一般公共预算拨款收入</w:t>
      </w:r>
      <w:r>
        <w:rPr>
          <w:rFonts w:ascii="仿宋_GB2312" w:eastAsia="仿宋_GB2312" w:hint="eastAsia"/>
          <w:spacing w:val="-8"/>
        </w:rPr>
        <w:t xml:space="preserve"> </w:t>
      </w:r>
      <w:r>
        <w:rPr>
          <w:rFonts w:ascii="仿宋_GB2312" w:eastAsia="仿宋_GB2312" w:hint="eastAsia"/>
          <w:spacing w:val="-8"/>
          <w:lang w:val="en-US"/>
        </w:rPr>
        <w:t>12463.47</w:t>
      </w:r>
      <w:r>
        <w:rPr>
          <w:rFonts w:ascii="仿宋_GB2312" w:eastAsia="仿宋_GB2312" w:hint="eastAsia"/>
          <w:spacing w:val="-8"/>
          <w:lang w:val="en-US"/>
        </w:rPr>
        <w:t>万</w:t>
      </w:r>
      <w:r>
        <w:rPr>
          <w:rFonts w:ascii="仿宋_GB2312" w:eastAsia="仿宋_GB2312" w:hint="eastAsia"/>
          <w:spacing w:val="-8"/>
        </w:rPr>
        <w:t>元。</w:t>
      </w:r>
    </w:p>
    <w:p w:rsidR="00B32044" w:rsidRDefault="002625D2" w:rsidP="00AB2094">
      <w:pPr>
        <w:pStyle w:val="a4"/>
        <w:spacing w:line="560" w:lineRule="exact"/>
        <w:ind w:firstLineChars="200" w:firstLine="624"/>
        <w:rPr>
          <w:rFonts w:ascii="仿宋_GB2312" w:eastAsia="仿宋_GB2312"/>
          <w:spacing w:val="-8"/>
        </w:rPr>
      </w:pPr>
      <w:r>
        <w:rPr>
          <w:rFonts w:ascii="仿宋_GB2312" w:eastAsia="仿宋_GB2312" w:hint="eastAsia"/>
          <w:spacing w:val="-8"/>
        </w:rPr>
        <w:t xml:space="preserve">2022 </w:t>
      </w:r>
      <w:r>
        <w:rPr>
          <w:rFonts w:ascii="仿宋_GB2312" w:eastAsia="仿宋_GB2312" w:hint="eastAsia"/>
          <w:spacing w:val="-8"/>
        </w:rPr>
        <w:t>年财政拨款支出预算</w:t>
      </w:r>
      <w:r>
        <w:rPr>
          <w:rFonts w:ascii="仿宋_GB2312" w:eastAsia="仿宋_GB2312" w:hint="eastAsia"/>
          <w:spacing w:val="-8"/>
        </w:rPr>
        <w:t xml:space="preserve"> </w:t>
      </w:r>
      <w:r>
        <w:rPr>
          <w:rFonts w:ascii="仿宋_GB2312" w:eastAsia="仿宋_GB2312" w:hint="eastAsia"/>
          <w:spacing w:val="-8"/>
          <w:lang w:val="en-US"/>
        </w:rPr>
        <w:t>12463.47</w:t>
      </w:r>
      <w:r>
        <w:rPr>
          <w:rFonts w:ascii="仿宋_GB2312" w:eastAsia="仿宋_GB2312" w:hint="eastAsia"/>
          <w:spacing w:val="-8"/>
          <w:lang w:val="en-US"/>
        </w:rPr>
        <w:t>万</w:t>
      </w:r>
      <w:r>
        <w:rPr>
          <w:rFonts w:ascii="仿宋_GB2312" w:eastAsia="仿宋_GB2312" w:hint="eastAsia"/>
          <w:spacing w:val="-8"/>
        </w:rPr>
        <w:t>元，其中：</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rPr>
        <w:t>宁夏宁东能源化工基地管理委员会办公室（审计办）支出</w:t>
      </w:r>
      <w:r>
        <w:rPr>
          <w:rFonts w:ascii="仿宋_GB2312" w:eastAsia="仿宋_GB2312" w:hint="eastAsia"/>
          <w:spacing w:val="-8"/>
          <w:lang w:val="en-US"/>
        </w:rPr>
        <w:t>1728.15</w:t>
      </w:r>
      <w:r>
        <w:rPr>
          <w:rFonts w:ascii="仿宋_GB2312" w:eastAsia="仿宋_GB2312" w:hint="eastAsia"/>
          <w:spacing w:val="-8"/>
          <w:lang w:val="en-US"/>
        </w:rPr>
        <w:t>万元，包括：一般党委办公厅（室）及相关机构事务支出</w:t>
      </w:r>
      <w:r>
        <w:rPr>
          <w:rFonts w:ascii="仿宋_GB2312" w:eastAsia="仿宋_GB2312" w:hint="eastAsia"/>
          <w:spacing w:val="-8"/>
          <w:lang w:val="en-US"/>
        </w:rPr>
        <w:t>1612.15</w:t>
      </w:r>
      <w:r>
        <w:rPr>
          <w:rFonts w:ascii="仿宋_GB2312" w:eastAsia="仿宋_GB2312" w:hint="eastAsia"/>
          <w:spacing w:val="-8"/>
          <w:lang w:val="en-US"/>
        </w:rPr>
        <w:t>万元、审计事务支出</w:t>
      </w:r>
      <w:r>
        <w:rPr>
          <w:rFonts w:ascii="仿宋_GB2312" w:eastAsia="仿宋_GB2312" w:hint="eastAsia"/>
          <w:spacing w:val="-8"/>
          <w:lang w:val="en-US"/>
        </w:rPr>
        <w:t>80</w:t>
      </w:r>
      <w:r>
        <w:rPr>
          <w:rFonts w:ascii="仿宋_GB2312" w:eastAsia="仿宋_GB2312" w:hint="eastAsia"/>
          <w:spacing w:val="-8"/>
          <w:lang w:val="en-US"/>
        </w:rPr>
        <w:t>万元、其他一般公共服务支出</w:t>
      </w:r>
      <w:r>
        <w:rPr>
          <w:rFonts w:ascii="仿宋_GB2312" w:eastAsia="仿宋_GB2312" w:hint="eastAsia"/>
          <w:spacing w:val="-8"/>
          <w:lang w:val="en-US"/>
        </w:rPr>
        <w:t>36</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宁夏宁东能源化工基地管理委员会党群工作部（机关党委）支出</w:t>
      </w:r>
      <w:r>
        <w:rPr>
          <w:rFonts w:ascii="仿宋_GB2312" w:eastAsia="仿宋_GB2312" w:hint="eastAsia"/>
          <w:spacing w:val="-8"/>
          <w:lang w:val="en-US"/>
        </w:rPr>
        <w:t>560.3</w:t>
      </w:r>
      <w:r>
        <w:rPr>
          <w:rFonts w:ascii="仿宋_GB2312" w:eastAsia="仿宋_GB2312" w:hint="eastAsia"/>
          <w:spacing w:val="-8"/>
          <w:lang w:val="en-US"/>
        </w:rPr>
        <w:t>万元，包括：群众团体事务</w:t>
      </w:r>
      <w:r>
        <w:rPr>
          <w:rFonts w:ascii="仿宋_GB2312" w:eastAsia="仿宋_GB2312" w:hint="eastAsia"/>
          <w:spacing w:val="-8"/>
          <w:lang w:val="en-US"/>
        </w:rPr>
        <w:t>1000</w:t>
      </w:r>
      <w:r>
        <w:rPr>
          <w:rFonts w:ascii="仿宋_GB2312" w:eastAsia="仿宋_GB2312" w:hint="eastAsia"/>
          <w:spacing w:val="-8"/>
          <w:lang w:val="en-US"/>
        </w:rPr>
        <w:t>万元、党委办公厅（室）及相关机构事务支出</w:t>
      </w:r>
      <w:r>
        <w:rPr>
          <w:rFonts w:ascii="仿宋_GB2312" w:eastAsia="仿宋_GB2312" w:hint="eastAsia"/>
          <w:spacing w:val="-8"/>
          <w:lang w:val="en-US"/>
        </w:rPr>
        <w:t>559.3</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宁夏宁东能源化工基地管理委员会经济发展局（统计局）支出</w:t>
      </w:r>
      <w:r>
        <w:rPr>
          <w:rFonts w:ascii="仿宋_GB2312" w:eastAsia="仿宋_GB2312" w:hint="eastAsia"/>
          <w:spacing w:val="-8"/>
          <w:lang w:val="en-US"/>
        </w:rPr>
        <w:t>1001.5</w:t>
      </w:r>
      <w:r>
        <w:rPr>
          <w:rFonts w:ascii="仿宋_GB2312" w:eastAsia="仿宋_GB2312" w:hint="eastAsia"/>
          <w:spacing w:val="-8"/>
          <w:lang w:val="en-US"/>
        </w:rPr>
        <w:t>万元，包括：发展与改革事务支出</w:t>
      </w:r>
      <w:r>
        <w:rPr>
          <w:rFonts w:ascii="仿宋_GB2312" w:eastAsia="仿宋_GB2312" w:hint="eastAsia"/>
          <w:spacing w:val="-8"/>
          <w:lang w:val="en-US"/>
        </w:rPr>
        <w:t>9041.5</w:t>
      </w:r>
      <w:r>
        <w:rPr>
          <w:rFonts w:ascii="仿宋_GB2312" w:eastAsia="仿宋_GB2312" w:hint="eastAsia"/>
          <w:spacing w:val="-8"/>
          <w:lang w:val="en-US"/>
        </w:rPr>
        <w:t>万元、统计信息事务支出</w:t>
      </w:r>
      <w:r>
        <w:rPr>
          <w:rFonts w:ascii="仿宋_GB2312" w:eastAsia="仿宋_GB2312" w:hint="eastAsia"/>
          <w:spacing w:val="-8"/>
          <w:lang w:val="en-US"/>
        </w:rPr>
        <w:t>100</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宁夏宁东能源化工基地管理委员会建设和交通局本级支出</w:t>
      </w:r>
      <w:r>
        <w:rPr>
          <w:rFonts w:ascii="仿宋_GB2312" w:eastAsia="仿宋_GB2312" w:hint="eastAsia"/>
          <w:spacing w:val="-8"/>
          <w:lang w:val="en-US"/>
        </w:rPr>
        <w:t>478.8</w:t>
      </w:r>
      <w:r>
        <w:rPr>
          <w:rFonts w:ascii="仿宋_GB2312" w:eastAsia="仿宋_GB2312" w:hint="eastAsia"/>
          <w:spacing w:val="-8"/>
          <w:lang w:val="en-US"/>
        </w:rPr>
        <w:t>万元，包括：城乡社区管理事务支出</w:t>
      </w:r>
      <w:r>
        <w:rPr>
          <w:rFonts w:ascii="仿宋_GB2312" w:eastAsia="仿宋_GB2312" w:hint="eastAsia"/>
          <w:spacing w:val="-8"/>
          <w:lang w:val="en-US"/>
        </w:rPr>
        <w:t>328.8</w:t>
      </w:r>
      <w:r>
        <w:rPr>
          <w:rFonts w:ascii="仿宋_GB2312" w:eastAsia="仿宋_GB2312" w:hint="eastAsia"/>
          <w:spacing w:val="-8"/>
          <w:lang w:val="en-US"/>
        </w:rPr>
        <w:t>万元、消防救援事务支出</w:t>
      </w:r>
      <w:r>
        <w:rPr>
          <w:rFonts w:ascii="仿宋_GB2312" w:eastAsia="仿宋_GB2312" w:hint="eastAsia"/>
          <w:spacing w:val="-8"/>
          <w:lang w:val="en-US"/>
        </w:rPr>
        <w:t>150</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宁夏宁东能源化工基地管理委员会社会事务局本级支出</w:t>
      </w:r>
      <w:r>
        <w:rPr>
          <w:rFonts w:ascii="仿宋_GB2312" w:eastAsia="仿宋_GB2312" w:hint="eastAsia"/>
          <w:spacing w:val="-8"/>
          <w:lang w:val="en-US"/>
        </w:rPr>
        <w:t>679.35</w:t>
      </w:r>
      <w:r>
        <w:rPr>
          <w:rFonts w:ascii="仿宋_GB2312" w:eastAsia="仿宋_GB2312" w:hint="eastAsia"/>
          <w:spacing w:val="-8"/>
          <w:lang w:val="en-US"/>
        </w:rPr>
        <w:t>万元，包括：统战事务支出</w:t>
      </w:r>
      <w:r>
        <w:rPr>
          <w:rFonts w:ascii="仿宋_GB2312" w:eastAsia="仿宋_GB2312" w:hint="eastAsia"/>
          <w:spacing w:val="-8"/>
          <w:lang w:val="en-US"/>
        </w:rPr>
        <w:t>11</w:t>
      </w:r>
      <w:r>
        <w:rPr>
          <w:rFonts w:ascii="仿宋_GB2312" w:eastAsia="仿宋_GB2312" w:hint="eastAsia"/>
          <w:spacing w:val="-8"/>
          <w:lang w:val="en-US"/>
        </w:rPr>
        <w:t>万元、司法支出</w:t>
      </w:r>
      <w:r>
        <w:rPr>
          <w:rFonts w:ascii="仿宋_GB2312" w:eastAsia="仿宋_GB2312" w:hint="eastAsia"/>
          <w:spacing w:val="-8"/>
          <w:lang w:val="en-US"/>
        </w:rPr>
        <w:t>115</w:t>
      </w:r>
      <w:r>
        <w:rPr>
          <w:rFonts w:ascii="仿宋_GB2312" w:eastAsia="仿宋_GB2312" w:hint="eastAsia"/>
          <w:spacing w:val="-8"/>
          <w:lang w:val="en-US"/>
        </w:rPr>
        <w:t>万元、其他公共安全支出</w:t>
      </w:r>
      <w:r>
        <w:rPr>
          <w:rFonts w:ascii="仿宋_GB2312" w:eastAsia="仿宋_GB2312" w:hint="eastAsia"/>
          <w:spacing w:val="-8"/>
          <w:lang w:val="en-US"/>
        </w:rPr>
        <w:t>30</w:t>
      </w:r>
      <w:r>
        <w:rPr>
          <w:rFonts w:ascii="仿宋_GB2312" w:eastAsia="仿宋_GB2312" w:hint="eastAsia"/>
          <w:spacing w:val="-8"/>
          <w:lang w:val="en-US"/>
        </w:rPr>
        <w:t>万元、民政管理事务支出</w:t>
      </w:r>
      <w:r>
        <w:rPr>
          <w:rFonts w:ascii="仿宋_GB2312" w:eastAsia="仿宋_GB2312" w:hint="eastAsia"/>
          <w:spacing w:val="-8"/>
          <w:lang w:val="en-US"/>
        </w:rPr>
        <w:t>228.35</w:t>
      </w:r>
      <w:r>
        <w:rPr>
          <w:rFonts w:ascii="仿宋_GB2312" w:eastAsia="仿宋_GB2312" w:hint="eastAsia"/>
          <w:spacing w:val="-8"/>
          <w:lang w:val="en-US"/>
        </w:rPr>
        <w:t>万元、公共卫生支出</w:t>
      </w:r>
      <w:r>
        <w:rPr>
          <w:rFonts w:ascii="仿宋_GB2312" w:eastAsia="仿宋_GB2312" w:hint="eastAsia"/>
          <w:spacing w:val="-8"/>
          <w:lang w:val="en-US"/>
        </w:rPr>
        <w:t>105</w:t>
      </w:r>
      <w:r>
        <w:rPr>
          <w:rFonts w:ascii="仿宋_GB2312" w:eastAsia="仿宋_GB2312" w:hint="eastAsia"/>
          <w:spacing w:val="-8"/>
          <w:lang w:val="en-US"/>
        </w:rPr>
        <w:t>万元、巩固脱贫衔接乡村振兴支出</w:t>
      </w:r>
      <w:r>
        <w:rPr>
          <w:rFonts w:ascii="仿宋_GB2312" w:eastAsia="仿宋_GB2312" w:hint="eastAsia"/>
          <w:spacing w:val="-8"/>
          <w:lang w:val="en-US"/>
        </w:rPr>
        <w:t>190</w:t>
      </w:r>
      <w:r>
        <w:rPr>
          <w:rFonts w:ascii="仿宋_GB2312" w:eastAsia="仿宋_GB2312" w:hint="eastAsia"/>
          <w:spacing w:val="-8"/>
          <w:lang w:val="en-US"/>
        </w:rPr>
        <w:t>万</w:t>
      </w:r>
      <w:r>
        <w:rPr>
          <w:rFonts w:ascii="仿宋_GB2312" w:eastAsia="仿宋_GB2312" w:hint="eastAsia"/>
          <w:spacing w:val="-8"/>
          <w:lang w:val="en-US"/>
        </w:rPr>
        <w:t>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宁夏宁东能源化工基地管理委员会财政金融局支出</w:t>
      </w:r>
      <w:r>
        <w:rPr>
          <w:rFonts w:ascii="仿宋_GB2312" w:eastAsia="仿宋_GB2312" w:hint="eastAsia"/>
          <w:spacing w:val="-8"/>
          <w:lang w:val="en-US"/>
        </w:rPr>
        <w:t>150</w:t>
      </w:r>
      <w:r>
        <w:rPr>
          <w:rFonts w:ascii="仿宋_GB2312" w:eastAsia="仿宋_GB2312" w:hint="eastAsia"/>
          <w:spacing w:val="-8"/>
          <w:lang w:val="en-US"/>
        </w:rPr>
        <w:t>万元，包括：财政事务支出</w:t>
      </w:r>
      <w:r>
        <w:rPr>
          <w:rFonts w:ascii="仿宋_GB2312" w:eastAsia="仿宋_GB2312" w:hint="eastAsia"/>
          <w:spacing w:val="-8"/>
          <w:lang w:val="en-US"/>
        </w:rPr>
        <w:t>40</w:t>
      </w:r>
      <w:r>
        <w:rPr>
          <w:rFonts w:ascii="仿宋_GB2312" w:eastAsia="仿宋_GB2312" w:hint="eastAsia"/>
          <w:spacing w:val="-8"/>
          <w:lang w:val="en-US"/>
        </w:rPr>
        <w:t>万元、审计事务支出</w:t>
      </w:r>
      <w:r>
        <w:rPr>
          <w:rFonts w:ascii="仿宋_GB2312" w:eastAsia="仿宋_GB2312" w:hint="eastAsia"/>
          <w:spacing w:val="-8"/>
          <w:lang w:val="en-US"/>
        </w:rPr>
        <w:t>110</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lastRenderedPageBreak/>
        <w:t>宁夏宁东能源化工基地管理委员会生态环境局支出</w:t>
      </w:r>
      <w:r>
        <w:rPr>
          <w:rFonts w:ascii="仿宋_GB2312" w:eastAsia="仿宋_GB2312" w:hint="eastAsia"/>
          <w:spacing w:val="-8"/>
          <w:lang w:val="en-US"/>
        </w:rPr>
        <w:t>490.1</w:t>
      </w:r>
      <w:r>
        <w:rPr>
          <w:rFonts w:ascii="仿宋_GB2312" w:eastAsia="仿宋_GB2312" w:hint="eastAsia"/>
          <w:spacing w:val="-8"/>
          <w:lang w:val="en-US"/>
        </w:rPr>
        <w:t>万元，包括</w:t>
      </w:r>
      <w:r>
        <w:rPr>
          <w:rFonts w:ascii="仿宋_GB2312" w:eastAsia="仿宋_GB2312" w:hint="eastAsia"/>
          <w:spacing w:val="-8"/>
          <w:lang w:val="en-US"/>
        </w:rPr>
        <w:t>:</w:t>
      </w:r>
      <w:r>
        <w:rPr>
          <w:rFonts w:ascii="仿宋_GB2312" w:eastAsia="仿宋_GB2312" w:hint="eastAsia"/>
          <w:spacing w:val="-8"/>
          <w:lang w:val="en-US"/>
        </w:rPr>
        <w:t>环境保护管理事务支出</w:t>
      </w:r>
      <w:r>
        <w:rPr>
          <w:rFonts w:ascii="仿宋_GB2312" w:eastAsia="仿宋_GB2312" w:hint="eastAsia"/>
          <w:spacing w:val="-8"/>
          <w:lang w:val="en-US"/>
        </w:rPr>
        <w:t>268.1</w:t>
      </w:r>
      <w:r>
        <w:rPr>
          <w:rFonts w:ascii="仿宋_GB2312" w:eastAsia="仿宋_GB2312" w:hint="eastAsia"/>
          <w:spacing w:val="-8"/>
          <w:lang w:val="en-US"/>
        </w:rPr>
        <w:t>万元、环境监测与监察支出</w:t>
      </w:r>
      <w:r>
        <w:rPr>
          <w:rFonts w:ascii="仿宋_GB2312" w:eastAsia="仿宋_GB2312" w:hint="eastAsia"/>
          <w:spacing w:val="-8"/>
          <w:lang w:val="en-US"/>
        </w:rPr>
        <w:t>192</w:t>
      </w:r>
      <w:r>
        <w:rPr>
          <w:rFonts w:ascii="仿宋_GB2312" w:eastAsia="仿宋_GB2312" w:hint="eastAsia"/>
          <w:spacing w:val="-8"/>
          <w:lang w:val="en-US"/>
        </w:rPr>
        <w:t>万元、污染防治支出</w:t>
      </w:r>
      <w:r>
        <w:rPr>
          <w:rFonts w:ascii="仿宋_GB2312" w:eastAsia="仿宋_GB2312" w:hint="eastAsia"/>
          <w:spacing w:val="-8"/>
          <w:lang w:val="en-US"/>
        </w:rPr>
        <w:t>30</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宁夏宁东能源化工基地管理委员会应急管理局支出</w:t>
      </w:r>
      <w:r>
        <w:rPr>
          <w:rFonts w:ascii="仿宋_GB2312" w:eastAsia="仿宋_GB2312" w:hint="eastAsia"/>
          <w:spacing w:val="-8"/>
          <w:lang w:val="en-US"/>
        </w:rPr>
        <w:t>944.2</w:t>
      </w:r>
      <w:r>
        <w:rPr>
          <w:rFonts w:ascii="仿宋_GB2312" w:eastAsia="仿宋_GB2312" w:hint="eastAsia"/>
          <w:spacing w:val="-8"/>
          <w:lang w:val="en-US"/>
        </w:rPr>
        <w:t>万元，包括：应急管理事务支出</w:t>
      </w:r>
      <w:r>
        <w:rPr>
          <w:rFonts w:ascii="仿宋_GB2312" w:eastAsia="仿宋_GB2312" w:hint="eastAsia"/>
          <w:spacing w:val="-8"/>
          <w:lang w:val="en-US"/>
        </w:rPr>
        <w:t>944.2</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宁夏宁东能源化工基地管理委员会招商局支出</w:t>
      </w:r>
      <w:r>
        <w:rPr>
          <w:rFonts w:ascii="仿宋_GB2312" w:eastAsia="仿宋_GB2312" w:hint="eastAsia"/>
          <w:spacing w:val="-8"/>
          <w:lang w:val="en-US"/>
        </w:rPr>
        <w:t>432.8</w:t>
      </w:r>
      <w:r>
        <w:rPr>
          <w:rFonts w:ascii="仿宋_GB2312" w:eastAsia="仿宋_GB2312" w:hint="eastAsia"/>
          <w:spacing w:val="-8"/>
          <w:lang w:val="en-US"/>
        </w:rPr>
        <w:t>万元，包括：商贸事务支出</w:t>
      </w:r>
      <w:r>
        <w:rPr>
          <w:rFonts w:ascii="仿宋_GB2312" w:eastAsia="仿宋_GB2312" w:hint="eastAsia"/>
          <w:spacing w:val="-8"/>
          <w:lang w:val="en-US"/>
        </w:rPr>
        <w:t>432.8</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宁夏宁东能源化工基地管理委员会纪检监察工委支出</w:t>
      </w:r>
      <w:r>
        <w:rPr>
          <w:rFonts w:ascii="仿宋_GB2312" w:eastAsia="仿宋_GB2312" w:hint="eastAsia"/>
          <w:spacing w:val="-8"/>
          <w:lang w:val="en-US"/>
        </w:rPr>
        <w:t>6</w:t>
      </w:r>
      <w:r>
        <w:rPr>
          <w:rFonts w:ascii="仿宋_GB2312" w:eastAsia="仿宋_GB2312" w:hint="eastAsia"/>
          <w:spacing w:val="-8"/>
          <w:lang w:val="en-US"/>
        </w:rPr>
        <w:t>5.8</w:t>
      </w:r>
      <w:r>
        <w:rPr>
          <w:rFonts w:ascii="仿宋_GB2312" w:eastAsia="仿宋_GB2312" w:hint="eastAsia"/>
          <w:spacing w:val="-8"/>
          <w:lang w:val="en-US"/>
        </w:rPr>
        <w:t>万元，包括：纪检监察事务支出</w:t>
      </w:r>
      <w:r>
        <w:rPr>
          <w:rFonts w:ascii="仿宋_GB2312" w:eastAsia="仿宋_GB2312" w:hint="eastAsia"/>
          <w:spacing w:val="-8"/>
          <w:lang w:val="en-US"/>
        </w:rPr>
        <w:t>65.8</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宁夏宁东能源化工基地管理委员会科技和信息化局支出</w:t>
      </w:r>
      <w:r>
        <w:rPr>
          <w:rFonts w:ascii="仿宋_GB2312" w:eastAsia="仿宋_GB2312" w:hint="eastAsia"/>
          <w:spacing w:val="-8"/>
          <w:lang w:val="en-US"/>
        </w:rPr>
        <w:t>604.65</w:t>
      </w:r>
      <w:r>
        <w:rPr>
          <w:rFonts w:ascii="仿宋_GB2312" w:eastAsia="仿宋_GB2312" w:hint="eastAsia"/>
          <w:spacing w:val="-8"/>
          <w:lang w:val="en-US"/>
        </w:rPr>
        <w:t>万元，包括：科学技术管理事务</w:t>
      </w:r>
      <w:r>
        <w:rPr>
          <w:rFonts w:ascii="仿宋_GB2312" w:eastAsia="仿宋_GB2312" w:hint="eastAsia"/>
          <w:spacing w:val="-8"/>
          <w:lang w:val="en-US"/>
        </w:rPr>
        <w:t>604.65</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宁夏宁东能源化工基地管理委员会人力资源局支出</w:t>
      </w:r>
      <w:r>
        <w:rPr>
          <w:rFonts w:ascii="仿宋_GB2312" w:eastAsia="仿宋_GB2312" w:hint="eastAsia"/>
          <w:spacing w:val="-8"/>
          <w:lang w:val="en-US"/>
        </w:rPr>
        <w:t>4459.62</w:t>
      </w:r>
      <w:r>
        <w:rPr>
          <w:rFonts w:ascii="仿宋_GB2312" w:eastAsia="仿宋_GB2312" w:hint="eastAsia"/>
          <w:spacing w:val="-8"/>
          <w:lang w:val="en-US"/>
        </w:rPr>
        <w:t>万元，包括：政府办公厅（室）及相关机构事务支出</w:t>
      </w:r>
      <w:r>
        <w:rPr>
          <w:rFonts w:ascii="仿宋_GB2312" w:eastAsia="仿宋_GB2312" w:hint="eastAsia"/>
          <w:spacing w:val="-8"/>
          <w:lang w:val="en-US"/>
        </w:rPr>
        <w:t>3872.74</w:t>
      </w:r>
      <w:r>
        <w:rPr>
          <w:rFonts w:ascii="仿宋_GB2312" w:eastAsia="仿宋_GB2312" w:hint="eastAsia"/>
          <w:spacing w:val="-8"/>
          <w:lang w:val="en-US"/>
        </w:rPr>
        <w:t>万元、人力资源和社会保障管理事务支出</w:t>
      </w:r>
      <w:r>
        <w:rPr>
          <w:rFonts w:ascii="仿宋_GB2312" w:eastAsia="仿宋_GB2312" w:hint="eastAsia"/>
          <w:spacing w:val="-8"/>
          <w:lang w:val="en-US"/>
        </w:rPr>
        <w:t>122.81</w:t>
      </w:r>
      <w:r>
        <w:rPr>
          <w:rFonts w:ascii="仿宋_GB2312" w:eastAsia="仿宋_GB2312" w:hint="eastAsia"/>
          <w:spacing w:val="-8"/>
          <w:lang w:val="en-US"/>
        </w:rPr>
        <w:t>万元、行政事业单位养老支出</w:t>
      </w:r>
      <w:r>
        <w:rPr>
          <w:rFonts w:ascii="仿宋_GB2312" w:eastAsia="仿宋_GB2312" w:hint="eastAsia"/>
          <w:spacing w:val="-8"/>
          <w:lang w:val="en-US"/>
        </w:rPr>
        <w:t>289.34</w:t>
      </w:r>
      <w:r>
        <w:rPr>
          <w:rFonts w:ascii="仿宋_GB2312" w:eastAsia="仿宋_GB2312" w:hint="eastAsia"/>
          <w:spacing w:val="-8"/>
          <w:lang w:val="en-US"/>
        </w:rPr>
        <w:t>万元、其他社会保障和就业支出</w:t>
      </w:r>
      <w:r>
        <w:rPr>
          <w:rFonts w:ascii="仿宋_GB2312" w:eastAsia="仿宋_GB2312" w:hint="eastAsia"/>
          <w:spacing w:val="-8"/>
          <w:lang w:val="en-US"/>
        </w:rPr>
        <w:t>32.18</w:t>
      </w:r>
      <w:r>
        <w:rPr>
          <w:rFonts w:ascii="仿宋_GB2312" w:eastAsia="仿宋_GB2312" w:hint="eastAsia"/>
          <w:spacing w:val="-8"/>
          <w:lang w:val="en-US"/>
        </w:rPr>
        <w:t>万元、行政事业单位医疗支出</w:t>
      </w:r>
      <w:r>
        <w:rPr>
          <w:rFonts w:ascii="仿宋_GB2312" w:eastAsia="仿宋_GB2312" w:hint="eastAsia"/>
          <w:spacing w:val="-8"/>
          <w:lang w:val="en-US"/>
        </w:rPr>
        <w:t>142.55</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宁夏宁东能源化工基地管理委员会自然资源局支出</w:t>
      </w:r>
      <w:r>
        <w:rPr>
          <w:rFonts w:ascii="仿宋_GB2312" w:eastAsia="仿宋_GB2312" w:hint="eastAsia"/>
          <w:spacing w:val="-8"/>
          <w:lang w:val="en-US"/>
        </w:rPr>
        <w:t>691.4</w:t>
      </w:r>
      <w:r>
        <w:rPr>
          <w:rFonts w:ascii="仿宋_GB2312" w:eastAsia="仿宋_GB2312" w:hint="eastAsia"/>
          <w:spacing w:val="-8"/>
          <w:lang w:val="en-US"/>
        </w:rPr>
        <w:t>万元，包括：</w:t>
      </w:r>
      <w:r>
        <w:rPr>
          <w:rFonts w:ascii="仿宋_GB2312" w:eastAsia="仿宋_GB2312" w:hint="eastAsia"/>
          <w:spacing w:val="-8"/>
          <w:lang w:val="en-US"/>
        </w:rPr>
        <w:t>城乡社区管理事务支出</w:t>
      </w:r>
      <w:r>
        <w:rPr>
          <w:rFonts w:ascii="仿宋_GB2312" w:eastAsia="仿宋_GB2312" w:hint="eastAsia"/>
          <w:spacing w:val="-8"/>
          <w:lang w:val="en-US"/>
        </w:rPr>
        <w:t>7.4</w:t>
      </w:r>
      <w:r>
        <w:rPr>
          <w:rFonts w:ascii="仿宋_GB2312" w:eastAsia="仿宋_GB2312" w:hint="eastAsia"/>
          <w:spacing w:val="-8"/>
          <w:lang w:val="en-US"/>
        </w:rPr>
        <w:t>万元、自然资源事务支出</w:t>
      </w:r>
      <w:r>
        <w:rPr>
          <w:rFonts w:ascii="仿宋_GB2312" w:eastAsia="仿宋_GB2312" w:hint="eastAsia"/>
          <w:spacing w:val="-8"/>
          <w:lang w:val="en-US"/>
        </w:rPr>
        <w:t>684</w:t>
      </w:r>
      <w:r>
        <w:rPr>
          <w:rFonts w:ascii="仿宋_GB2312" w:eastAsia="仿宋_GB2312" w:hint="eastAsia"/>
          <w:spacing w:val="-8"/>
          <w:lang w:val="en-US"/>
        </w:rPr>
        <w:t>万元；</w:t>
      </w:r>
    </w:p>
    <w:p w:rsidR="00B32044" w:rsidRDefault="002625D2" w:rsidP="00AB2094">
      <w:pPr>
        <w:pStyle w:val="a4"/>
        <w:spacing w:line="560" w:lineRule="exact"/>
        <w:ind w:firstLineChars="200" w:firstLine="624"/>
        <w:rPr>
          <w:rFonts w:ascii="仿宋_GB2312" w:eastAsia="仿宋_GB2312"/>
          <w:spacing w:val="-8"/>
          <w:lang w:val="en-US"/>
        </w:rPr>
      </w:pPr>
      <w:r>
        <w:rPr>
          <w:rFonts w:ascii="仿宋_GB2312" w:eastAsia="仿宋_GB2312" w:hint="eastAsia"/>
          <w:spacing w:val="-8"/>
          <w:lang w:val="en-US"/>
        </w:rPr>
        <w:t>宁夏宁东能源化工基地建设工程质量监督站支出</w:t>
      </w:r>
      <w:r>
        <w:rPr>
          <w:rFonts w:ascii="仿宋_GB2312" w:eastAsia="仿宋_GB2312" w:hint="eastAsia"/>
          <w:spacing w:val="-8"/>
          <w:lang w:val="en-US"/>
        </w:rPr>
        <w:t>176.8</w:t>
      </w:r>
      <w:r>
        <w:rPr>
          <w:rFonts w:ascii="仿宋_GB2312" w:eastAsia="仿宋_GB2312" w:hint="eastAsia"/>
          <w:spacing w:val="-8"/>
          <w:lang w:val="en-US"/>
        </w:rPr>
        <w:t>万元，城乡社区管理事务支出</w:t>
      </w:r>
      <w:r>
        <w:rPr>
          <w:rFonts w:ascii="仿宋_GB2312" w:eastAsia="仿宋_GB2312" w:hint="eastAsia"/>
          <w:spacing w:val="-8"/>
          <w:lang w:val="en-US"/>
        </w:rPr>
        <w:t>176.8</w:t>
      </w:r>
      <w:r>
        <w:rPr>
          <w:rFonts w:ascii="仿宋_GB2312" w:eastAsia="仿宋_GB2312" w:hint="eastAsia"/>
          <w:spacing w:val="-8"/>
          <w:lang w:val="en-US"/>
        </w:rPr>
        <w:t>万元。</w:t>
      </w:r>
      <w:r>
        <w:rPr>
          <w:rFonts w:ascii="仿宋_GB2312" w:eastAsia="仿宋_GB2312" w:hint="eastAsia"/>
          <w:spacing w:val="-8"/>
          <w:lang w:val="en-US"/>
        </w:rPr>
        <w:tab/>
      </w:r>
    </w:p>
    <w:p w:rsidR="00B32044" w:rsidRDefault="00B32044">
      <w:pPr>
        <w:pStyle w:val="a4"/>
        <w:spacing w:before="8"/>
        <w:rPr>
          <w:rFonts w:ascii="仿宋_GB2312"/>
          <w:sz w:val="27"/>
        </w:rPr>
      </w:pPr>
    </w:p>
    <w:p w:rsidR="00B32044" w:rsidRDefault="002625D2">
      <w:pPr>
        <w:pStyle w:val="a4"/>
        <w:spacing w:line="350" w:lineRule="auto"/>
        <w:ind w:left="106" w:right="218" w:firstLine="640"/>
        <w:rPr>
          <w:rFonts w:ascii="黑体" w:eastAsia="黑体"/>
        </w:rPr>
      </w:pPr>
      <w:r>
        <w:rPr>
          <w:rFonts w:ascii="黑体" w:eastAsia="黑体" w:hint="eastAsia"/>
        </w:rPr>
        <w:t>二、关于</w:t>
      </w:r>
      <w:r>
        <w:rPr>
          <w:rFonts w:ascii="黑体" w:eastAsia="黑体" w:hint="eastAsia"/>
        </w:rPr>
        <w:t xml:space="preserve"> </w:t>
      </w:r>
      <w:r>
        <w:rPr>
          <w:rFonts w:ascii="Times New Roman" w:eastAsia="Times New Roman"/>
        </w:rPr>
        <w:t xml:space="preserve">2022 </w:t>
      </w:r>
      <w:proofErr w:type="gramStart"/>
      <w:r>
        <w:rPr>
          <w:rFonts w:ascii="黑体" w:eastAsia="黑体" w:hint="eastAsia"/>
        </w:rPr>
        <w:t>年一般</w:t>
      </w:r>
      <w:proofErr w:type="gramEnd"/>
      <w:r>
        <w:rPr>
          <w:rFonts w:ascii="黑体" w:eastAsia="黑体" w:hint="eastAsia"/>
        </w:rPr>
        <w:t>公共预算财政拨款支出情况说明</w:t>
      </w:r>
    </w:p>
    <w:p w:rsidR="00B32044" w:rsidRDefault="002625D2">
      <w:pPr>
        <w:widowControl/>
        <w:spacing w:line="560" w:lineRule="exact"/>
        <w:ind w:firstLine="480"/>
        <w:rPr>
          <w:rFonts w:ascii="楷体_GB2312" w:eastAsia="楷体_GB2312"/>
          <w:b/>
          <w:bCs/>
          <w:sz w:val="32"/>
          <w:szCs w:val="32"/>
        </w:rPr>
      </w:pPr>
      <w:r>
        <w:rPr>
          <w:rFonts w:ascii="楷体_GB2312" w:eastAsia="楷体_GB2312" w:hint="eastAsia"/>
          <w:b/>
          <w:bCs/>
          <w:sz w:val="32"/>
          <w:szCs w:val="32"/>
        </w:rPr>
        <w:t>（</w:t>
      </w:r>
      <w:r>
        <w:rPr>
          <w:rFonts w:ascii="楷体_GB2312" w:eastAsia="楷体_GB2312" w:hint="eastAsia"/>
          <w:b/>
          <w:bCs/>
          <w:sz w:val="32"/>
          <w:szCs w:val="32"/>
        </w:rPr>
        <w:t>一）基本支出情况说明</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lang w:val="en-US"/>
        </w:rPr>
        <w:t>22</w:t>
      </w:r>
      <w:r>
        <w:rPr>
          <w:rFonts w:ascii="仿宋_GB2312" w:eastAsia="仿宋_GB2312" w:hAnsi="仿宋_GB2312" w:cs="仿宋_GB2312" w:hint="eastAsia"/>
          <w:sz w:val="32"/>
          <w:szCs w:val="32"/>
        </w:rPr>
        <w:t>年基地经济发展态势，在充分考虑各方面资金需</w:t>
      </w:r>
      <w:r>
        <w:rPr>
          <w:rFonts w:ascii="仿宋_GB2312" w:eastAsia="仿宋_GB2312" w:hAnsi="仿宋_GB2312" w:cs="仿宋_GB2312" w:hint="eastAsia"/>
          <w:sz w:val="32"/>
          <w:szCs w:val="32"/>
        </w:rPr>
        <w:lastRenderedPageBreak/>
        <w:t>求，在确保“保工资、保运转、保基本民生”支出的基础上，按照“稳增长、调结构、惠民生、促发展、防风险”的原则，围绕基地</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lang w:val="en-US"/>
        </w:rPr>
        <w:t>22</w:t>
      </w:r>
      <w:r>
        <w:rPr>
          <w:rFonts w:ascii="仿宋_GB2312" w:eastAsia="仿宋_GB2312" w:hAnsi="仿宋_GB2312" w:cs="仿宋_GB2312" w:hint="eastAsia"/>
          <w:sz w:val="32"/>
          <w:szCs w:val="32"/>
        </w:rPr>
        <w:t>年重点工作，统筹安排部门支出</w:t>
      </w:r>
      <w:r>
        <w:rPr>
          <w:rFonts w:ascii="仿宋_GB2312" w:eastAsia="仿宋_GB2312" w:hAnsi="仿宋_GB2312" w:cs="仿宋_GB2312" w:hint="eastAsia"/>
          <w:sz w:val="32"/>
          <w:szCs w:val="32"/>
          <w:lang w:val="en-US"/>
        </w:rPr>
        <w:t>34756</w:t>
      </w:r>
      <w:r>
        <w:rPr>
          <w:rFonts w:ascii="仿宋_GB2312" w:eastAsia="仿宋_GB2312" w:hAnsi="仿宋_GB2312" w:cs="仿宋_GB2312" w:hint="eastAsia"/>
          <w:sz w:val="32"/>
          <w:szCs w:val="32"/>
        </w:rPr>
        <w:t>万元，其中：人员支出</w:t>
      </w:r>
      <w:r>
        <w:rPr>
          <w:rFonts w:ascii="仿宋_GB2312" w:eastAsia="仿宋_GB2312" w:hAnsi="仿宋_GB2312" w:cs="仿宋_GB2312" w:hint="eastAsia"/>
          <w:sz w:val="32"/>
          <w:szCs w:val="32"/>
          <w:lang w:val="en-US"/>
        </w:rPr>
        <w:t>16399</w:t>
      </w:r>
      <w:r>
        <w:rPr>
          <w:rFonts w:ascii="仿宋_GB2312" w:eastAsia="仿宋_GB2312" w:hAnsi="仿宋_GB2312" w:cs="仿宋_GB2312" w:hint="eastAsia"/>
          <w:sz w:val="32"/>
          <w:szCs w:val="32"/>
        </w:rPr>
        <w:t>万元，运转类（公用）支出</w:t>
      </w:r>
      <w:r>
        <w:rPr>
          <w:rFonts w:ascii="仿宋_GB2312" w:eastAsia="仿宋_GB2312" w:hAnsi="仿宋_GB2312" w:cs="仿宋_GB2312" w:hint="eastAsia"/>
          <w:sz w:val="32"/>
          <w:szCs w:val="32"/>
          <w:lang w:val="en-US"/>
        </w:rPr>
        <w:t>1095</w:t>
      </w:r>
      <w:r>
        <w:rPr>
          <w:rFonts w:ascii="仿宋_GB2312" w:eastAsia="仿宋_GB2312" w:hAnsi="仿宋_GB2312" w:cs="仿宋_GB2312" w:hint="eastAsia"/>
          <w:sz w:val="32"/>
          <w:szCs w:val="32"/>
        </w:rPr>
        <w:t>万元，运转类（其他）支出</w:t>
      </w:r>
      <w:r>
        <w:rPr>
          <w:rFonts w:ascii="仿宋_GB2312" w:eastAsia="仿宋_GB2312" w:hAnsi="仿宋_GB2312" w:cs="仿宋_GB2312" w:hint="eastAsia"/>
          <w:sz w:val="32"/>
          <w:szCs w:val="32"/>
          <w:lang w:val="en-US"/>
        </w:rPr>
        <w:t>17262</w:t>
      </w:r>
      <w:r>
        <w:rPr>
          <w:rFonts w:ascii="仿宋_GB2312" w:eastAsia="仿宋_GB2312" w:hAnsi="仿宋_GB2312" w:cs="仿宋_GB2312" w:hint="eastAsia"/>
          <w:sz w:val="32"/>
          <w:szCs w:val="32"/>
          <w:lang w:val="en-US"/>
        </w:rPr>
        <w:t>万元</w:t>
      </w:r>
      <w:r>
        <w:rPr>
          <w:rFonts w:ascii="仿宋_GB2312" w:eastAsia="仿宋_GB2312" w:hAnsi="仿宋_GB2312" w:cs="仿宋_GB2312" w:hint="eastAsia"/>
          <w:sz w:val="32"/>
          <w:szCs w:val="32"/>
        </w:rPr>
        <w:t>。</w:t>
      </w:r>
    </w:p>
    <w:p w:rsidR="00B32044" w:rsidRDefault="002625D2" w:rsidP="00AB2094">
      <w:pPr>
        <w:autoSpaceDE/>
        <w:autoSpaceDN/>
        <w:spacing w:line="560" w:lineRule="exact"/>
        <w:ind w:firstLineChars="200" w:firstLine="643"/>
        <w:jc w:val="both"/>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（一）人员支出预算</w:t>
      </w:r>
    </w:p>
    <w:p w:rsidR="00B32044" w:rsidRDefault="002625D2">
      <w:pPr>
        <w:autoSpaceDE/>
        <w:autoSpaceDN/>
        <w:spacing w:line="56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人员支出预算安排</w:t>
      </w:r>
      <w:r>
        <w:rPr>
          <w:rFonts w:ascii="仿宋_GB2312" w:eastAsia="仿宋_GB2312" w:hAnsi="仿宋_GB2312" w:cs="仿宋_GB2312" w:hint="eastAsia"/>
          <w:sz w:val="32"/>
          <w:szCs w:val="32"/>
          <w:lang w:val="en-US"/>
        </w:rPr>
        <w:t>16399</w:t>
      </w:r>
      <w:r>
        <w:rPr>
          <w:rFonts w:ascii="仿宋_GB2312" w:eastAsia="仿宋_GB2312" w:hAnsi="仿宋_GB2312" w:cs="仿宋_GB2312" w:hint="eastAsia"/>
          <w:sz w:val="32"/>
          <w:szCs w:val="32"/>
          <w:lang w:val="en-US"/>
        </w:rPr>
        <w:t>万元，较上年减少</w:t>
      </w:r>
      <w:r>
        <w:rPr>
          <w:rFonts w:ascii="仿宋_GB2312" w:eastAsia="仿宋_GB2312" w:hAnsi="仿宋_GB2312" w:cs="仿宋_GB2312" w:hint="eastAsia"/>
          <w:sz w:val="32"/>
          <w:szCs w:val="32"/>
          <w:lang w:val="en-US"/>
        </w:rPr>
        <w:t>75</w:t>
      </w:r>
      <w:r>
        <w:rPr>
          <w:rFonts w:ascii="仿宋_GB2312" w:eastAsia="仿宋_GB2312" w:hAnsi="仿宋_GB2312" w:cs="仿宋_GB2312" w:hint="eastAsia"/>
          <w:sz w:val="32"/>
          <w:szCs w:val="32"/>
          <w:lang w:val="en-US"/>
        </w:rPr>
        <w:t>万元，同比减少</w:t>
      </w:r>
      <w:r>
        <w:rPr>
          <w:rFonts w:ascii="仿宋_GB2312" w:eastAsia="仿宋_GB2312" w:hAnsi="仿宋_GB2312" w:cs="仿宋_GB2312" w:hint="eastAsia"/>
          <w:sz w:val="32"/>
          <w:szCs w:val="32"/>
          <w:lang w:val="en-US"/>
        </w:rPr>
        <w:t>0.46%</w:t>
      </w:r>
      <w:r>
        <w:rPr>
          <w:rFonts w:ascii="仿宋_GB2312" w:eastAsia="仿宋_GB2312" w:hAnsi="仿宋_GB2312" w:cs="仿宋_GB2312" w:hint="eastAsia"/>
          <w:sz w:val="32"/>
          <w:szCs w:val="32"/>
          <w:lang w:val="en-US"/>
        </w:rPr>
        <w:t>。主要包括行政事业编制人员（含退休人员）及其他人员工资及福利支出，</w:t>
      </w:r>
      <w:r>
        <w:rPr>
          <w:rFonts w:ascii="仿宋_GB2312" w:eastAsia="仿宋_GB2312" w:hAnsi="仿宋_GB2312" w:cs="仿宋_GB2312" w:hint="eastAsia"/>
          <w:color w:val="000000"/>
          <w:sz w:val="32"/>
          <w:szCs w:val="32"/>
        </w:rPr>
        <w:t>工资福利支出和对个人家庭补助支出按照自治区及管委会工资福利政策据实安排。</w:t>
      </w:r>
    </w:p>
    <w:p w:rsidR="00B32044" w:rsidRDefault="002625D2" w:rsidP="00AB2094">
      <w:pPr>
        <w:autoSpaceDE/>
        <w:autoSpaceDN/>
        <w:spacing w:line="560" w:lineRule="exact"/>
        <w:ind w:firstLineChars="200" w:firstLine="643"/>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1.</w:t>
      </w:r>
      <w:r>
        <w:rPr>
          <w:rFonts w:ascii="仿宋_GB2312" w:eastAsia="仿宋_GB2312" w:hAnsi="仿宋_GB2312" w:cs="仿宋_GB2312" w:hint="eastAsia"/>
          <w:b/>
          <w:bCs/>
          <w:sz w:val="32"/>
          <w:szCs w:val="32"/>
          <w:lang w:val="en-US"/>
        </w:rPr>
        <w:t>行政事业编制人员（含退休人员）工资及福利支出</w:t>
      </w:r>
      <w:r>
        <w:rPr>
          <w:rFonts w:ascii="仿宋_GB2312" w:eastAsia="仿宋_GB2312" w:hAnsi="仿宋_GB2312" w:cs="仿宋_GB2312" w:hint="eastAsia"/>
          <w:b/>
          <w:bCs/>
          <w:sz w:val="32"/>
          <w:szCs w:val="32"/>
          <w:lang w:val="en-US"/>
        </w:rPr>
        <w:t>13839</w:t>
      </w:r>
      <w:r>
        <w:rPr>
          <w:rFonts w:ascii="仿宋_GB2312" w:eastAsia="仿宋_GB2312" w:hAnsi="仿宋_GB2312" w:cs="仿宋_GB2312" w:hint="eastAsia"/>
          <w:b/>
          <w:bCs/>
          <w:sz w:val="32"/>
          <w:szCs w:val="32"/>
          <w:lang w:val="en-US"/>
        </w:rPr>
        <w:t>万元</w:t>
      </w:r>
      <w:r>
        <w:rPr>
          <w:rFonts w:ascii="仿宋_GB2312" w:eastAsia="仿宋_GB2312" w:hAnsi="仿宋_GB2312" w:cs="仿宋_GB2312" w:hint="eastAsia"/>
          <w:sz w:val="32"/>
          <w:szCs w:val="32"/>
          <w:lang w:val="en-US"/>
        </w:rPr>
        <w:t>，主要包括行政事业编制及退休人员基本工资、绩效工资、各项津补贴、奖金及五险</w:t>
      </w:r>
      <w:proofErr w:type="gramStart"/>
      <w:r>
        <w:rPr>
          <w:rFonts w:ascii="仿宋_GB2312" w:eastAsia="仿宋_GB2312" w:hAnsi="仿宋_GB2312" w:cs="仿宋_GB2312" w:hint="eastAsia"/>
          <w:sz w:val="32"/>
          <w:szCs w:val="32"/>
          <w:lang w:val="en-US"/>
        </w:rPr>
        <w:t>一</w:t>
      </w:r>
      <w:proofErr w:type="gramEnd"/>
      <w:r>
        <w:rPr>
          <w:rFonts w:ascii="仿宋_GB2312" w:eastAsia="仿宋_GB2312" w:hAnsi="仿宋_GB2312" w:cs="仿宋_GB2312" w:hint="eastAsia"/>
          <w:sz w:val="32"/>
          <w:szCs w:val="32"/>
          <w:lang w:val="en-US"/>
        </w:rPr>
        <w:t>金。其中管委会（本级）</w:t>
      </w:r>
      <w:r>
        <w:rPr>
          <w:rFonts w:ascii="仿宋_GB2312" w:eastAsia="仿宋_GB2312" w:hAnsi="仿宋_GB2312" w:cs="仿宋_GB2312" w:hint="eastAsia"/>
          <w:sz w:val="32"/>
          <w:szCs w:val="32"/>
          <w:lang w:val="en-US"/>
        </w:rPr>
        <w:t>3102</w:t>
      </w:r>
      <w:r>
        <w:rPr>
          <w:rFonts w:ascii="仿宋_GB2312" w:eastAsia="仿宋_GB2312" w:hAnsi="仿宋_GB2312" w:cs="仿宋_GB2312" w:hint="eastAsia"/>
          <w:sz w:val="32"/>
          <w:szCs w:val="32"/>
          <w:lang w:val="en-US"/>
        </w:rPr>
        <w:t>万元，宁东镇政府</w:t>
      </w:r>
      <w:r>
        <w:rPr>
          <w:rFonts w:ascii="仿宋_GB2312" w:eastAsia="仿宋_GB2312" w:hAnsi="仿宋_GB2312" w:cs="仿宋_GB2312" w:hint="eastAsia"/>
          <w:sz w:val="32"/>
          <w:szCs w:val="32"/>
          <w:lang w:val="en-US"/>
        </w:rPr>
        <w:t>1630</w:t>
      </w:r>
      <w:r>
        <w:rPr>
          <w:rFonts w:ascii="仿宋_GB2312" w:eastAsia="仿宋_GB2312" w:hAnsi="仿宋_GB2312" w:cs="仿宋_GB2312" w:hint="eastAsia"/>
          <w:sz w:val="32"/>
          <w:szCs w:val="32"/>
          <w:lang w:val="en-US"/>
        </w:rPr>
        <w:t>万元，宁东医院</w:t>
      </w:r>
      <w:r>
        <w:rPr>
          <w:rFonts w:ascii="仿宋_GB2312" w:eastAsia="仿宋_GB2312" w:hAnsi="仿宋_GB2312" w:cs="仿宋_GB2312" w:hint="eastAsia"/>
          <w:sz w:val="32"/>
          <w:szCs w:val="32"/>
          <w:lang w:val="en-US"/>
        </w:rPr>
        <w:t>4043</w:t>
      </w:r>
      <w:r>
        <w:rPr>
          <w:rFonts w:ascii="仿宋_GB2312" w:eastAsia="仿宋_GB2312" w:hAnsi="仿宋_GB2312" w:cs="仿宋_GB2312" w:hint="eastAsia"/>
          <w:sz w:val="32"/>
          <w:szCs w:val="32"/>
          <w:lang w:val="en-US"/>
        </w:rPr>
        <w:t>万元，社区服务中心</w:t>
      </w:r>
      <w:r>
        <w:rPr>
          <w:rFonts w:ascii="仿宋_GB2312" w:eastAsia="仿宋_GB2312" w:hAnsi="仿宋_GB2312" w:cs="仿宋_GB2312" w:hint="eastAsia"/>
          <w:sz w:val="32"/>
          <w:szCs w:val="32"/>
          <w:lang w:val="en-US"/>
        </w:rPr>
        <w:t>514</w:t>
      </w:r>
      <w:r>
        <w:rPr>
          <w:rFonts w:ascii="仿宋_GB2312" w:eastAsia="仿宋_GB2312" w:hAnsi="仿宋_GB2312" w:cs="仿宋_GB2312" w:hint="eastAsia"/>
          <w:sz w:val="32"/>
          <w:szCs w:val="32"/>
          <w:lang w:val="en-US"/>
        </w:rPr>
        <w:t>万元，宁东各学校</w:t>
      </w:r>
      <w:r>
        <w:rPr>
          <w:rFonts w:ascii="仿宋_GB2312" w:eastAsia="仿宋_GB2312" w:hAnsi="仿宋_GB2312" w:cs="仿宋_GB2312" w:hint="eastAsia"/>
          <w:sz w:val="32"/>
          <w:szCs w:val="32"/>
          <w:lang w:val="en-US"/>
        </w:rPr>
        <w:t>4550</w:t>
      </w:r>
      <w:r>
        <w:rPr>
          <w:rFonts w:ascii="仿宋_GB2312" w:eastAsia="仿宋_GB2312" w:hAnsi="仿宋_GB2312" w:cs="仿宋_GB2312" w:hint="eastAsia"/>
          <w:sz w:val="32"/>
          <w:szCs w:val="32"/>
          <w:lang w:val="en-US"/>
        </w:rPr>
        <w:t>万元。</w:t>
      </w:r>
    </w:p>
    <w:p w:rsidR="00B32044" w:rsidRDefault="002625D2" w:rsidP="00AB2094">
      <w:pPr>
        <w:autoSpaceDE/>
        <w:autoSpaceDN/>
        <w:spacing w:line="560" w:lineRule="exact"/>
        <w:ind w:firstLineChars="200" w:firstLine="643"/>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2.</w:t>
      </w:r>
      <w:r>
        <w:rPr>
          <w:rFonts w:ascii="仿宋_GB2312" w:eastAsia="仿宋_GB2312" w:hAnsi="仿宋_GB2312" w:cs="仿宋_GB2312" w:hint="eastAsia"/>
          <w:b/>
          <w:bCs/>
          <w:sz w:val="32"/>
          <w:szCs w:val="32"/>
          <w:lang w:val="en-US"/>
        </w:rPr>
        <w:t>其他人员工资福利支出</w:t>
      </w:r>
      <w:r>
        <w:rPr>
          <w:rFonts w:ascii="仿宋_GB2312" w:eastAsia="仿宋_GB2312" w:hAnsi="仿宋_GB2312" w:cs="仿宋_GB2312" w:hint="eastAsia"/>
          <w:b/>
          <w:bCs/>
          <w:sz w:val="32"/>
          <w:szCs w:val="32"/>
          <w:lang w:val="en-US"/>
        </w:rPr>
        <w:t>2560</w:t>
      </w:r>
      <w:r>
        <w:rPr>
          <w:rFonts w:ascii="仿宋_GB2312" w:eastAsia="仿宋_GB2312" w:hAnsi="仿宋_GB2312" w:cs="仿宋_GB2312" w:hint="eastAsia"/>
          <w:b/>
          <w:bCs/>
          <w:sz w:val="32"/>
          <w:szCs w:val="32"/>
          <w:lang w:val="en-US"/>
        </w:rPr>
        <w:t>万元</w:t>
      </w:r>
      <w:r>
        <w:rPr>
          <w:rFonts w:ascii="仿宋_GB2312" w:eastAsia="仿宋_GB2312" w:hAnsi="仿宋_GB2312" w:cs="仿宋_GB2312" w:hint="eastAsia"/>
          <w:sz w:val="32"/>
          <w:szCs w:val="32"/>
          <w:lang w:val="en-US"/>
        </w:rPr>
        <w:t>，主要包括编制控制数人员、劳动合同制人员及劳务派遣人员基本工资、绩效工资（仅编制控制数）、各项津补贴、奖金及五险</w:t>
      </w:r>
      <w:proofErr w:type="gramStart"/>
      <w:r>
        <w:rPr>
          <w:rFonts w:ascii="仿宋_GB2312" w:eastAsia="仿宋_GB2312" w:hAnsi="仿宋_GB2312" w:cs="仿宋_GB2312" w:hint="eastAsia"/>
          <w:sz w:val="32"/>
          <w:szCs w:val="32"/>
          <w:lang w:val="en-US"/>
        </w:rPr>
        <w:t>一</w:t>
      </w:r>
      <w:proofErr w:type="gramEnd"/>
      <w:r>
        <w:rPr>
          <w:rFonts w:ascii="仿宋_GB2312" w:eastAsia="仿宋_GB2312" w:hAnsi="仿宋_GB2312" w:cs="仿宋_GB2312" w:hint="eastAsia"/>
          <w:sz w:val="32"/>
          <w:szCs w:val="32"/>
          <w:lang w:val="en-US"/>
        </w:rPr>
        <w:t>金。其中管委会（本级）</w:t>
      </w:r>
      <w:r>
        <w:rPr>
          <w:rFonts w:ascii="仿宋_GB2312" w:eastAsia="仿宋_GB2312" w:hAnsi="仿宋_GB2312" w:cs="仿宋_GB2312" w:hint="eastAsia"/>
          <w:sz w:val="32"/>
          <w:szCs w:val="32"/>
          <w:lang w:val="en-US"/>
        </w:rPr>
        <w:t>1195</w:t>
      </w:r>
      <w:r>
        <w:rPr>
          <w:rFonts w:ascii="仿宋_GB2312" w:eastAsia="仿宋_GB2312" w:hAnsi="仿宋_GB2312" w:cs="仿宋_GB2312" w:hint="eastAsia"/>
          <w:sz w:val="32"/>
          <w:szCs w:val="32"/>
          <w:lang w:val="en-US"/>
        </w:rPr>
        <w:t>万元，政务中心</w:t>
      </w:r>
      <w:r>
        <w:rPr>
          <w:rFonts w:ascii="仿宋_GB2312" w:eastAsia="仿宋_GB2312" w:hAnsi="仿宋_GB2312" w:cs="仿宋_GB2312" w:hint="eastAsia"/>
          <w:sz w:val="32"/>
          <w:szCs w:val="32"/>
          <w:lang w:val="en-US"/>
        </w:rPr>
        <w:t>84</w:t>
      </w:r>
      <w:r>
        <w:rPr>
          <w:rFonts w:ascii="仿宋_GB2312" w:eastAsia="仿宋_GB2312" w:hAnsi="仿宋_GB2312" w:cs="仿宋_GB2312" w:hint="eastAsia"/>
          <w:sz w:val="32"/>
          <w:szCs w:val="32"/>
          <w:lang w:val="en-US"/>
        </w:rPr>
        <w:t>万元，环境监测站</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万元，社保中心</w:t>
      </w:r>
      <w:r>
        <w:rPr>
          <w:rFonts w:ascii="仿宋_GB2312" w:eastAsia="仿宋_GB2312" w:hAnsi="仿宋_GB2312" w:cs="仿宋_GB2312" w:hint="eastAsia"/>
          <w:sz w:val="32"/>
          <w:szCs w:val="32"/>
          <w:lang w:val="en-US"/>
        </w:rPr>
        <w:t>81.3</w:t>
      </w:r>
      <w:r>
        <w:rPr>
          <w:rFonts w:ascii="仿宋_GB2312" w:eastAsia="仿宋_GB2312" w:hAnsi="仿宋_GB2312" w:cs="仿宋_GB2312" w:hint="eastAsia"/>
          <w:color w:val="000000"/>
          <w:sz w:val="32"/>
          <w:szCs w:val="32"/>
          <w:lang w:val="en-US"/>
        </w:rPr>
        <w:t>万元，宁东镇</w:t>
      </w:r>
      <w:r>
        <w:rPr>
          <w:rFonts w:ascii="仿宋_GB2312" w:eastAsia="仿宋_GB2312" w:hAnsi="仿宋_GB2312" w:cs="仿宋_GB2312" w:hint="eastAsia"/>
          <w:color w:val="000000"/>
          <w:sz w:val="32"/>
          <w:szCs w:val="32"/>
          <w:lang w:val="en-US"/>
        </w:rPr>
        <w:t>1049</w:t>
      </w:r>
      <w:r>
        <w:rPr>
          <w:rFonts w:ascii="仿宋_GB2312" w:eastAsia="仿宋_GB2312" w:hAnsi="仿宋_GB2312" w:cs="仿宋_GB2312" w:hint="eastAsia"/>
          <w:color w:val="000000"/>
          <w:sz w:val="32"/>
          <w:szCs w:val="32"/>
          <w:lang w:val="en-US"/>
        </w:rPr>
        <w:t>万元，宁东医院</w:t>
      </w:r>
      <w:r>
        <w:rPr>
          <w:rFonts w:ascii="仿宋_GB2312" w:eastAsia="仿宋_GB2312" w:hAnsi="仿宋_GB2312" w:cs="仿宋_GB2312" w:hint="eastAsia"/>
          <w:color w:val="000000"/>
          <w:sz w:val="32"/>
          <w:szCs w:val="32"/>
          <w:lang w:val="en-US"/>
        </w:rPr>
        <w:t>23</w:t>
      </w:r>
      <w:r>
        <w:rPr>
          <w:rFonts w:ascii="仿宋_GB2312" w:eastAsia="仿宋_GB2312" w:hAnsi="仿宋_GB2312" w:cs="仿宋_GB2312" w:hint="eastAsia"/>
          <w:color w:val="000000"/>
          <w:sz w:val="32"/>
          <w:szCs w:val="32"/>
          <w:lang w:val="en-US"/>
        </w:rPr>
        <w:t>万元，社区服务中心</w:t>
      </w:r>
      <w:r>
        <w:rPr>
          <w:rFonts w:ascii="仿宋_GB2312" w:eastAsia="仿宋_GB2312" w:hAnsi="仿宋_GB2312" w:cs="仿宋_GB2312" w:hint="eastAsia"/>
          <w:color w:val="000000"/>
          <w:sz w:val="32"/>
          <w:szCs w:val="32"/>
          <w:lang w:val="en-US"/>
        </w:rPr>
        <w:t>5</w:t>
      </w:r>
      <w:r>
        <w:rPr>
          <w:rFonts w:ascii="仿宋_GB2312" w:eastAsia="仿宋_GB2312" w:hAnsi="仿宋_GB2312" w:cs="仿宋_GB2312" w:hint="eastAsia"/>
          <w:color w:val="000000"/>
          <w:sz w:val="32"/>
          <w:szCs w:val="32"/>
          <w:lang w:val="en-US"/>
        </w:rPr>
        <w:t>万元</w:t>
      </w:r>
      <w:r>
        <w:rPr>
          <w:rFonts w:ascii="仿宋_GB2312" w:eastAsia="仿宋_GB2312" w:hAnsi="仿宋_GB2312" w:cs="仿宋_GB2312" w:hint="eastAsia"/>
          <w:color w:val="000000"/>
          <w:sz w:val="32"/>
          <w:szCs w:val="32"/>
          <w:lang w:val="en-US"/>
        </w:rPr>
        <w:t>,</w:t>
      </w:r>
      <w:r>
        <w:rPr>
          <w:rFonts w:ascii="仿宋_GB2312" w:eastAsia="仿宋_GB2312" w:hAnsi="仿宋_GB2312" w:cs="仿宋_GB2312" w:hint="eastAsia"/>
          <w:color w:val="000000"/>
          <w:sz w:val="32"/>
          <w:szCs w:val="32"/>
          <w:lang w:val="en-US"/>
        </w:rPr>
        <w:t>各学校退休人员奖金及遗属人员补助</w:t>
      </w:r>
      <w:r>
        <w:rPr>
          <w:rFonts w:ascii="仿宋_GB2312" w:eastAsia="仿宋_GB2312" w:hAnsi="仿宋_GB2312" w:cs="仿宋_GB2312" w:hint="eastAsia"/>
          <w:color w:val="000000"/>
          <w:sz w:val="32"/>
          <w:szCs w:val="32"/>
          <w:lang w:val="en-US"/>
        </w:rPr>
        <w:t>110</w:t>
      </w:r>
      <w:r>
        <w:rPr>
          <w:rFonts w:ascii="仿宋_GB2312" w:eastAsia="仿宋_GB2312" w:hAnsi="仿宋_GB2312" w:cs="仿宋_GB2312" w:hint="eastAsia"/>
          <w:color w:val="000000"/>
          <w:sz w:val="32"/>
          <w:szCs w:val="32"/>
          <w:lang w:val="en-US"/>
        </w:rPr>
        <w:t>万元。</w:t>
      </w:r>
    </w:p>
    <w:p w:rsidR="00B32044" w:rsidRDefault="002625D2" w:rsidP="00AB2094">
      <w:pPr>
        <w:autoSpaceDE/>
        <w:autoSpaceDN/>
        <w:spacing w:line="560" w:lineRule="exact"/>
        <w:ind w:firstLineChars="200" w:firstLine="643"/>
        <w:jc w:val="both"/>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（二）运转类（公用）支出预算</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运转类（公用项目）预算安排</w:t>
      </w:r>
      <w:r>
        <w:rPr>
          <w:rFonts w:ascii="仿宋_GB2312" w:eastAsia="仿宋_GB2312" w:hAnsi="仿宋_GB2312" w:cs="仿宋_GB2312" w:hint="eastAsia"/>
          <w:sz w:val="32"/>
          <w:szCs w:val="32"/>
          <w:lang w:val="en-US"/>
        </w:rPr>
        <w:t>1095</w:t>
      </w:r>
      <w:r>
        <w:rPr>
          <w:rFonts w:ascii="仿宋_GB2312" w:eastAsia="仿宋_GB2312" w:hAnsi="仿宋_GB2312" w:cs="仿宋_GB2312" w:hint="eastAsia"/>
          <w:sz w:val="32"/>
          <w:szCs w:val="32"/>
          <w:lang w:val="en-US"/>
        </w:rPr>
        <w:t>万元，较上年增加</w:t>
      </w:r>
      <w:r>
        <w:rPr>
          <w:rFonts w:ascii="仿宋_GB2312" w:eastAsia="仿宋_GB2312" w:hAnsi="仿宋_GB2312" w:cs="仿宋_GB2312" w:hint="eastAsia"/>
          <w:sz w:val="32"/>
          <w:szCs w:val="32"/>
          <w:lang w:val="en-US"/>
        </w:rPr>
        <w:t>163</w:t>
      </w:r>
      <w:r>
        <w:rPr>
          <w:rFonts w:ascii="仿宋_GB2312" w:eastAsia="仿宋_GB2312" w:hAnsi="仿宋_GB2312" w:cs="仿宋_GB2312" w:hint="eastAsia"/>
          <w:sz w:val="32"/>
          <w:szCs w:val="32"/>
          <w:lang w:val="en-US"/>
        </w:rPr>
        <w:t>万元，同比增长</w:t>
      </w:r>
      <w:r>
        <w:rPr>
          <w:rFonts w:ascii="仿宋_GB2312" w:eastAsia="仿宋_GB2312" w:hAnsi="仿宋_GB2312" w:cs="仿宋_GB2312" w:hint="eastAsia"/>
          <w:sz w:val="32"/>
          <w:szCs w:val="32"/>
          <w:lang w:val="en-US"/>
        </w:rPr>
        <w:t>17.49%</w:t>
      </w:r>
      <w:r>
        <w:rPr>
          <w:rFonts w:ascii="仿宋_GB2312" w:eastAsia="仿宋_GB2312" w:hAnsi="仿宋_GB2312" w:cs="仿宋_GB2312" w:hint="eastAsia"/>
          <w:sz w:val="32"/>
          <w:szCs w:val="32"/>
          <w:lang w:val="en-US"/>
        </w:rPr>
        <w:t>。主要包括公用经费支出及公务车运行维护费等其他运转类支出，</w:t>
      </w:r>
      <w:r>
        <w:rPr>
          <w:rFonts w:ascii="仿宋_GB2312" w:eastAsia="仿宋_GB2312" w:hAnsi="仿宋_GB2312" w:cs="仿宋_GB2312" w:hint="eastAsia"/>
          <w:color w:val="000000"/>
          <w:sz w:val="32"/>
          <w:szCs w:val="32"/>
        </w:rPr>
        <w:t>公用经费支出按照单位性质分不同定额标</w:t>
      </w:r>
      <w:r>
        <w:rPr>
          <w:rFonts w:ascii="仿宋_GB2312" w:eastAsia="仿宋_GB2312" w:hAnsi="仿宋_GB2312" w:cs="仿宋_GB2312" w:hint="eastAsia"/>
          <w:color w:val="000000"/>
          <w:sz w:val="32"/>
          <w:szCs w:val="32"/>
        </w:rPr>
        <w:lastRenderedPageBreak/>
        <w:t>准进行核定。</w:t>
      </w:r>
    </w:p>
    <w:p w:rsidR="00B32044" w:rsidRDefault="002625D2" w:rsidP="00AB2094">
      <w:pPr>
        <w:autoSpaceDE/>
        <w:autoSpaceDN/>
        <w:spacing w:line="560" w:lineRule="exact"/>
        <w:ind w:firstLineChars="200" w:firstLine="643"/>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1.</w:t>
      </w:r>
      <w:r>
        <w:rPr>
          <w:rFonts w:ascii="仿宋_GB2312" w:eastAsia="仿宋_GB2312" w:hAnsi="仿宋_GB2312" w:cs="仿宋_GB2312" w:hint="eastAsia"/>
          <w:b/>
          <w:bCs/>
          <w:sz w:val="32"/>
          <w:szCs w:val="32"/>
          <w:lang w:val="en-US"/>
        </w:rPr>
        <w:t>公用经费</w:t>
      </w:r>
      <w:r>
        <w:rPr>
          <w:rFonts w:ascii="仿宋_GB2312" w:eastAsia="仿宋_GB2312" w:hAnsi="仿宋_GB2312" w:cs="仿宋_GB2312" w:hint="eastAsia"/>
          <w:sz w:val="32"/>
          <w:szCs w:val="32"/>
          <w:lang w:val="en-US"/>
        </w:rPr>
        <w:t>管委会本级</w:t>
      </w:r>
      <w:r>
        <w:rPr>
          <w:rFonts w:ascii="仿宋_GB2312" w:eastAsia="仿宋_GB2312" w:hAnsi="仿宋_GB2312" w:cs="仿宋_GB2312" w:hint="eastAsia"/>
          <w:sz w:val="32"/>
          <w:szCs w:val="32"/>
          <w:lang w:val="en-US"/>
        </w:rPr>
        <w:t>173</w:t>
      </w:r>
      <w:r>
        <w:rPr>
          <w:rFonts w:ascii="仿宋_GB2312" w:eastAsia="仿宋_GB2312" w:hAnsi="仿宋_GB2312" w:cs="仿宋_GB2312" w:hint="eastAsia"/>
          <w:sz w:val="32"/>
          <w:szCs w:val="32"/>
          <w:lang w:val="en-US"/>
        </w:rPr>
        <w:t>万元</w:t>
      </w:r>
    </w:p>
    <w:p w:rsidR="00B32044" w:rsidRDefault="002625D2" w:rsidP="00AB2094">
      <w:pPr>
        <w:autoSpaceDE/>
        <w:autoSpaceDN/>
        <w:spacing w:line="560" w:lineRule="exact"/>
        <w:ind w:firstLineChars="200" w:firstLine="643"/>
        <w:jc w:val="both"/>
        <w:rPr>
          <w:rFonts w:ascii="仿宋_GB2312" w:eastAsia="仿宋_GB2312" w:hAnsi="仿宋_GB2312" w:cs="仿宋_GB2312"/>
          <w:sz w:val="32"/>
          <w:szCs w:val="32"/>
          <w:lang w:val="en-US"/>
        </w:rPr>
      </w:pPr>
      <w:r>
        <w:rPr>
          <w:rFonts w:ascii="仿宋_GB2312" w:eastAsia="仿宋_GB2312" w:hAnsi="仿宋_GB2312" w:cs="仿宋_GB2312" w:hint="eastAsia"/>
          <w:b/>
          <w:bCs/>
          <w:sz w:val="32"/>
          <w:szCs w:val="32"/>
          <w:lang w:val="en-US"/>
        </w:rPr>
        <w:t>2.</w:t>
      </w:r>
      <w:r>
        <w:rPr>
          <w:rFonts w:ascii="仿宋_GB2312" w:eastAsia="仿宋_GB2312" w:hAnsi="仿宋_GB2312" w:cs="仿宋_GB2312" w:hint="eastAsia"/>
          <w:b/>
          <w:bCs/>
          <w:sz w:val="32"/>
          <w:szCs w:val="32"/>
          <w:lang w:val="en-US"/>
        </w:rPr>
        <w:t>其他运转类支出</w:t>
      </w:r>
      <w:r>
        <w:rPr>
          <w:rFonts w:ascii="仿宋_GB2312" w:eastAsia="仿宋_GB2312" w:hAnsi="仿宋_GB2312" w:cs="仿宋_GB2312" w:hint="eastAsia"/>
          <w:b/>
          <w:bCs/>
          <w:sz w:val="32"/>
          <w:szCs w:val="32"/>
          <w:lang w:val="en-US"/>
        </w:rPr>
        <w:t>194</w:t>
      </w:r>
      <w:r>
        <w:rPr>
          <w:rFonts w:ascii="仿宋_GB2312" w:eastAsia="仿宋_GB2312" w:hAnsi="仿宋_GB2312" w:cs="仿宋_GB2312" w:hint="eastAsia"/>
          <w:b/>
          <w:bCs/>
          <w:sz w:val="32"/>
          <w:szCs w:val="32"/>
          <w:lang w:val="en-US"/>
        </w:rPr>
        <w:t>万元</w:t>
      </w:r>
      <w:r>
        <w:rPr>
          <w:rFonts w:ascii="仿宋_GB2312" w:eastAsia="仿宋_GB2312" w:hAnsi="仿宋_GB2312" w:cs="仿宋_GB2312" w:hint="eastAsia"/>
          <w:sz w:val="32"/>
          <w:szCs w:val="32"/>
          <w:lang w:val="en-US"/>
        </w:rPr>
        <w:t>。其中公务车运行维护费</w:t>
      </w:r>
      <w:r>
        <w:rPr>
          <w:rFonts w:ascii="仿宋_GB2312" w:eastAsia="仿宋_GB2312" w:hAnsi="仿宋_GB2312" w:cs="仿宋_GB2312" w:hint="eastAsia"/>
          <w:sz w:val="32"/>
          <w:szCs w:val="32"/>
          <w:lang w:val="en-US"/>
        </w:rPr>
        <w:t>80</w:t>
      </w:r>
      <w:r>
        <w:rPr>
          <w:rFonts w:ascii="仿宋_GB2312" w:eastAsia="仿宋_GB2312" w:hAnsi="仿宋_GB2312" w:cs="仿宋_GB2312" w:hint="eastAsia"/>
          <w:sz w:val="32"/>
          <w:szCs w:val="32"/>
          <w:lang w:val="en-US"/>
        </w:rPr>
        <w:t>万元，工会经费</w:t>
      </w:r>
      <w:r>
        <w:rPr>
          <w:rFonts w:ascii="仿宋_GB2312" w:eastAsia="仿宋_GB2312" w:hAnsi="仿宋_GB2312" w:cs="仿宋_GB2312" w:hint="eastAsia"/>
          <w:sz w:val="32"/>
          <w:szCs w:val="32"/>
          <w:lang w:val="en-US"/>
        </w:rPr>
        <w:t>114</w:t>
      </w:r>
      <w:r>
        <w:rPr>
          <w:rFonts w:ascii="仿宋_GB2312" w:eastAsia="仿宋_GB2312" w:hAnsi="仿宋_GB2312" w:cs="仿宋_GB2312" w:hint="eastAsia"/>
          <w:sz w:val="32"/>
          <w:szCs w:val="32"/>
          <w:lang w:val="en-US"/>
        </w:rPr>
        <w:t>万元；</w:t>
      </w:r>
    </w:p>
    <w:p w:rsidR="00B32044" w:rsidRDefault="002625D2">
      <w:pPr>
        <w:autoSpaceDE/>
        <w:autoSpaceDN/>
        <w:spacing w:line="560" w:lineRule="exact"/>
        <w:ind w:leftChars="200" w:left="440"/>
        <w:jc w:val="both"/>
        <w:rPr>
          <w:rFonts w:ascii="楷体_GB2312" w:eastAsia="楷体_GB2312" w:hAnsi="楷体_GB2312" w:cs="楷体_GB2312"/>
          <w:b/>
          <w:bCs/>
          <w:sz w:val="32"/>
          <w:szCs w:val="32"/>
          <w:lang w:val="en-US"/>
        </w:rPr>
      </w:pPr>
      <w:r>
        <w:rPr>
          <w:rFonts w:ascii="楷体_GB2312" w:eastAsia="楷体_GB2312" w:hAnsi="楷体_GB2312" w:cs="楷体_GB2312" w:hint="eastAsia"/>
          <w:b/>
          <w:bCs/>
          <w:sz w:val="32"/>
          <w:szCs w:val="32"/>
          <w:lang w:val="en-US"/>
        </w:rPr>
        <w:t>（三）部门运转类（其他）支出预算</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运转类（其他）项目支出安排</w:t>
      </w:r>
      <w:r>
        <w:rPr>
          <w:rFonts w:ascii="仿宋_GB2312" w:eastAsia="仿宋_GB2312" w:hAnsi="仿宋_GB2312" w:cs="仿宋_GB2312" w:hint="eastAsia"/>
          <w:sz w:val="32"/>
          <w:szCs w:val="32"/>
          <w:lang w:val="en-US"/>
        </w:rPr>
        <w:t>17262</w:t>
      </w:r>
      <w:r>
        <w:rPr>
          <w:rFonts w:ascii="仿宋_GB2312" w:eastAsia="仿宋_GB2312" w:hAnsi="仿宋_GB2312" w:cs="仿宋_GB2312" w:hint="eastAsia"/>
          <w:sz w:val="32"/>
          <w:szCs w:val="32"/>
          <w:lang w:val="en-US"/>
        </w:rPr>
        <w:t>万元，较上年增加</w:t>
      </w:r>
      <w:r>
        <w:rPr>
          <w:rFonts w:ascii="仿宋_GB2312" w:eastAsia="仿宋_GB2312" w:hAnsi="仿宋_GB2312" w:cs="仿宋_GB2312" w:hint="eastAsia"/>
          <w:sz w:val="32"/>
          <w:szCs w:val="32"/>
          <w:lang w:val="en-US"/>
        </w:rPr>
        <w:t>670</w:t>
      </w:r>
      <w:r>
        <w:rPr>
          <w:rFonts w:ascii="仿宋_GB2312" w:eastAsia="仿宋_GB2312" w:hAnsi="仿宋_GB2312" w:cs="仿宋_GB2312" w:hint="eastAsia"/>
          <w:sz w:val="32"/>
          <w:szCs w:val="32"/>
          <w:lang w:val="en-US"/>
        </w:rPr>
        <w:t>万元，同比增长</w:t>
      </w:r>
      <w:r>
        <w:rPr>
          <w:rFonts w:ascii="仿宋_GB2312" w:eastAsia="仿宋_GB2312" w:hAnsi="仿宋_GB2312" w:cs="仿宋_GB2312" w:hint="eastAsia"/>
          <w:sz w:val="32"/>
          <w:szCs w:val="32"/>
          <w:lang w:val="en-US"/>
        </w:rPr>
        <w:t>4.04%</w:t>
      </w:r>
      <w:r>
        <w:rPr>
          <w:rFonts w:ascii="仿宋_GB2312" w:eastAsia="仿宋_GB2312" w:hAnsi="仿宋_GB2312" w:cs="仿宋_GB2312" w:hint="eastAsia"/>
          <w:sz w:val="32"/>
          <w:szCs w:val="32"/>
          <w:lang w:val="en-US"/>
        </w:rPr>
        <w:t>。其中：一般公共预算本级安排</w:t>
      </w:r>
      <w:r>
        <w:rPr>
          <w:rFonts w:ascii="仿宋_GB2312" w:eastAsia="仿宋_GB2312" w:hAnsi="仿宋_GB2312" w:cs="仿宋_GB2312" w:hint="eastAsia"/>
          <w:sz w:val="32"/>
          <w:szCs w:val="32"/>
          <w:lang w:val="en-US"/>
        </w:rPr>
        <w:t>16441</w:t>
      </w:r>
      <w:r>
        <w:rPr>
          <w:rFonts w:ascii="仿宋_GB2312" w:eastAsia="仿宋_GB2312" w:hAnsi="仿宋_GB2312" w:cs="仿宋_GB2312" w:hint="eastAsia"/>
          <w:sz w:val="32"/>
          <w:szCs w:val="32"/>
          <w:lang w:val="en-US"/>
        </w:rPr>
        <w:t>万元，自治区提前下达资金安排</w:t>
      </w:r>
      <w:r>
        <w:rPr>
          <w:rFonts w:ascii="仿宋_GB2312" w:eastAsia="仿宋_GB2312" w:hAnsi="仿宋_GB2312" w:cs="仿宋_GB2312" w:hint="eastAsia"/>
          <w:sz w:val="32"/>
          <w:szCs w:val="32"/>
          <w:lang w:val="en-US"/>
        </w:rPr>
        <w:t>8</w:t>
      </w:r>
      <w:r>
        <w:rPr>
          <w:rFonts w:ascii="仿宋_GB2312" w:eastAsia="仿宋_GB2312" w:hAnsi="仿宋_GB2312" w:cs="仿宋_GB2312" w:hint="eastAsia"/>
          <w:sz w:val="32"/>
          <w:szCs w:val="32"/>
          <w:lang w:val="en-US"/>
        </w:rPr>
        <w:t>万元</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上年结转</w:t>
      </w:r>
      <w:r>
        <w:rPr>
          <w:rFonts w:ascii="仿宋_GB2312" w:eastAsia="仿宋_GB2312" w:hAnsi="仿宋_GB2312" w:cs="仿宋_GB2312" w:hint="eastAsia"/>
          <w:sz w:val="32"/>
          <w:szCs w:val="32"/>
          <w:lang w:val="en-US"/>
        </w:rPr>
        <w:t>813</w:t>
      </w:r>
      <w:r>
        <w:rPr>
          <w:rFonts w:ascii="仿宋_GB2312" w:eastAsia="仿宋_GB2312" w:hAnsi="仿宋_GB2312" w:cs="仿宋_GB2312" w:hint="eastAsia"/>
          <w:sz w:val="32"/>
          <w:szCs w:val="32"/>
          <w:lang w:val="en-US"/>
        </w:rPr>
        <w:t>万</w:t>
      </w:r>
      <w:r>
        <w:rPr>
          <w:rFonts w:ascii="仿宋_GB2312" w:eastAsia="仿宋_GB2312" w:hAnsi="仿宋_GB2312" w:cs="仿宋_GB2312" w:hint="eastAsia"/>
          <w:sz w:val="32"/>
          <w:szCs w:val="32"/>
          <w:lang w:val="en-US"/>
        </w:rPr>
        <w:t>元。</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办公室、政务中心、宁东镇</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含社区</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安排</w:t>
      </w:r>
      <w:r>
        <w:rPr>
          <w:rFonts w:ascii="仿宋_GB2312" w:eastAsia="仿宋_GB2312" w:hAnsi="仿宋_GB2312" w:cs="仿宋_GB2312" w:hint="eastAsia"/>
          <w:sz w:val="32"/>
          <w:szCs w:val="32"/>
        </w:rPr>
        <w:t>各类运转性支出</w:t>
      </w:r>
      <w:r>
        <w:rPr>
          <w:rFonts w:ascii="仿宋_GB2312" w:eastAsia="仿宋_GB2312" w:hAnsi="仿宋_GB2312" w:cs="仿宋_GB2312" w:hint="eastAsia"/>
          <w:sz w:val="32"/>
          <w:szCs w:val="32"/>
          <w:lang w:val="en-US"/>
        </w:rPr>
        <w:t>4513</w:t>
      </w:r>
      <w:r>
        <w:rPr>
          <w:rFonts w:ascii="仿宋_GB2312" w:eastAsia="仿宋_GB2312" w:hAnsi="仿宋_GB2312" w:cs="仿宋_GB2312" w:hint="eastAsia"/>
          <w:sz w:val="32"/>
          <w:szCs w:val="32"/>
        </w:rPr>
        <w:t>万元。主要为管委会、宁东镇、西塔楼</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层房屋租赁费、物业费、水电暖、电梯费，宁东</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便民热线服务平台、宁东镇各站所业务工作经费等。</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纪检监察工委、党群活动服务中心运行等党建及监察工作经费</w:t>
      </w:r>
      <w:r>
        <w:rPr>
          <w:rFonts w:ascii="仿宋_GB2312" w:eastAsia="仿宋_GB2312" w:hAnsi="仿宋_GB2312" w:cs="仿宋_GB2312" w:hint="eastAsia"/>
          <w:sz w:val="32"/>
          <w:szCs w:val="32"/>
        </w:rPr>
        <w:t>607</w:t>
      </w:r>
      <w:r>
        <w:rPr>
          <w:rFonts w:ascii="仿宋_GB2312" w:eastAsia="仿宋_GB2312" w:hAnsi="仿宋_GB2312" w:cs="仿宋_GB2312" w:hint="eastAsia"/>
          <w:sz w:val="32"/>
          <w:szCs w:val="32"/>
        </w:rPr>
        <w:t>万元。</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规划建设、环保、自然资源、环境监测与市容管理工作经费</w:t>
      </w:r>
      <w:r>
        <w:rPr>
          <w:rFonts w:ascii="仿宋_GB2312" w:eastAsia="仿宋_GB2312" w:hAnsi="仿宋_GB2312" w:cs="仿宋_GB2312" w:hint="eastAsia"/>
          <w:sz w:val="32"/>
          <w:szCs w:val="32"/>
          <w:lang w:val="en-US"/>
        </w:rPr>
        <w:t>2330</w:t>
      </w:r>
      <w:r>
        <w:rPr>
          <w:rFonts w:ascii="仿宋_GB2312" w:eastAsia="仿宋_GB2312" w:hAnsi="仿宋_GB2312" w:cs="仿宋_GB2312" w:hint="eastAsia"/>
          <w:sz w:val="32"/>
          <w:szCs w:val="32"/>
        </w:rPr>
        <w:t>万元，主要为宁东核心区国土资源信息化项目技术服务、宁东生活垃圾处理、宁东基地核心区地下管线和地上高压线及其附属设施普查项目、自然资源相关咨询、规划编制、测绘和评估</w:t>
      </w:r>
      <w:r>
        <w:rPr>
          <w:rFonts w:ascii="仿宋_GB2312" w:eastAsia="仿宋_GB2312" w:hAnsi="仿宋_GB2312" w:cs="仿宋_GB2312" w:hint="eastAsia"/>
          <w:sz w:val="32"/>
          <w:szCs w:val="32"/>
        </w:rPr>
        <w:t>等服务、生态环保规划、课题及三线</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单工作、新材料园区规划环评、总体规划环评跟踪评价报告书编制、委托监测、环境监测运行、建设工程质量监督管理等项目支出。</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rPr>
        <w:t>健康宁夏及疫情防控、慰问及困难补贴、驻村扶贫、司法、社保等社会事务与公共卫生工作经费</w:t>
      </w:r>
      <w:r>
        <w:rPr>
          <w:rFonts w:ascii="仿宋_GB2312" w:eastAsia="仿宋_GB2312" w:hAnsi="仿宋_GB2312" w:cs="仿宋_GB2312" w:hint="eastAsia"/>
          <w:sz w:val="32"/>
          <w:szCs w:val="32"/>
        </w:rPr>
        <w:t>924</w:t>
      </w:r>
      <w:r>
        <w:rPr>
          <w:rFonts w:ascii="仿宋_GB2312" w:eastAsia="仿宋_GB2312" w:hAnsi="仿宋_GB2312" w:cs="仿宋_GB2312" w:hint="eastAsia"/>
          <w:sz w:val="32"/>
          <w:szCs w:val="32"/>
        </w:rPr>
        <w:t>万元。</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经济发展及战略规划项目前期工作经费、十四五相关规划编制、政府投资项目概算审核、危化企业化工管理及园区评估、</w:t>
      </w:r>
      <w:r>
        <w:rPr>
          <w:rFonts w:ascii="仿宋_GB2312" w:eastAsia="仿宋_GB2312" w:hAnsi="仿宋_GB2312" w:cs="仿宋_GB2312" w:hint="eastAsia"/>
          <w:sz w:val="32"/>
          <w:szCs w:val="32"/>
        </w:rPr>
        <w:lastRenderedPageBreak/>
        <w:t>突发事件处置、竣工验收及咨询服务、人才招聘及人才保障培训、</w:t>
      </w:r>
      <w:r>
        <w:rPr>
          <w:rFonts w:ascii="仿宋_GB2312" w:eastAsia="仿宋_GB2312" w:hAnsi="仿宋_GB2312" w:cs="仿宋_GB2312" w:hint="eastAsia"/>
          <w:sz w:val="32"/>
          <w:szCs w:val="32"/>
        </w:rPr>
        <w:t>2021-2022</w:t>
      </w:r>
      <w:r>
        <w:rPr>
          <w:rFonts w:ascii="仿宋_GB2312" w:eastAsia="仿宋_GB2312" w:hAnsi="仿宋_GB2312" w:cs="仿宋_GB2312" w:hint="eastAsia"/>
          <w:sz w:val="32"/>
          <w:szCs w:val="32"/>
        </w:rPr>
        <w:t>年运维服务、财政审计业务等</w:t>
      </w:r>
      <w:r>
        <w:rPr>
          <w:rFonts w:ascii="仿宋_GB2312" w:eastAsia="仿宋_GB2312" w:hAnsi="仿宋_GB2312" w:cs="仿宋_GB2312" w:hint="eastAsia"/>
          <w:sz w:val="32"/>
          <w:szCs w:val="32"/>
          <w:lang w:val="en-US"/>
        </w:rPr>
        <w:t>3061</w:t>
      </w:r>
      <w:r>
        <w:rPr>
          <w:rFonts w:ascii="仿宋_GB2312" w:eastAsia="仿宋_GB2312" w:hAnsi="仿宋_GB2312" w:cs="仿宋_GB2312" w:hint="eastAsia"/>
          <w:sz w:val="32"/>
          <w:szCs w:val="32"/>
        </w:rPr>
        <w:t>万元，招商工作经费</w:t>
      </w:r>
      <w:r>
        <w:rPr>
          <w:rFonts w:ascii="仿宋_GB2312" w:eastAsia="仿宋_GB2312" w:hAnsi="仿宋_GB2312" w:cs="仿宋_GB2312" w:hint="eastAsia"/>
          <w:sz w:val="32"/>
          <w:szCs w:val="32"/>
        </w:rPr>
        <w:t>425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lang w:val="en-US"/>
        </w:rPr>
        <w:t>.</w:t>
      </w:r>
    </w:p>
    <w:p w:rsidR="00B32044" w:rsidRDefault="002625D2">
      <w:pPr>
        <w:autoSpaceDE/>
        <w:autoSpaceDN/>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rPr>
        <w:t>国地税部门征管工作经费及代扣代征税款手续费、消防工作经费及运行维护费、</w:t>
      </w:r>
      <w:proofErr w:type="gramStart"/>
      <w:r>
        <w:rPr>
          <w:rFonts w:ascii="仿宋_GB2312" w:eastAsia="仿宋_GB2312" w:hAnsi="仿宋_GB2312" w:cs="仿宋_GB2312" w:hint="eastAsia"/>
          <w:sz w:val="32"/>
          <w:szCs w:val="32"/>
        </w:rPr>
        <w:t>协警人员</w:t>
      </w:r>
      <w:proofErr w:type="gramEnd"/>
      <w:r>
        <w:rPr>
          <w:rFonts w:ascii="仿宋_GB2312" w:eastAsia="仿宋_GB2312" w:hAnsi="仿宋_GB2312" w:cs="仿宋_GB2312" w:hint="eastAsia"/>
          <w:sz w:val="32"/>
          <w:szCs w:val="32"/>
        </w:rPr>
        <w:t>工作经费及宁东</w:t>
      </w:r>
      <w:proofErr w:type="gramStart"/>
      <w:r>
        <w:rPr>
          <w:rFonts w:ascii="仿宋_GB2312" w:eastAsia="仿宋_GB2312" w:hAnsi="仿宋_GB2312" w:cs="仿宋_GB2312" w:hint="eastAsia"/>
          <w:sz w:val="32"/>
          <w:szCs w:val="32"/>
        </w:rPr>
        <w:t>危爆品管</w:t>
      </w:r>
      <w:proofErr w:type="gramEnd"/>
      <w:r>
        <w:rPr>
          <w:rFonts w:ascii="仿宋_GB2312" w:eastAsia="仿宋_GB2312" w:hAnsi="仿宋_GB2312" w:cs="仿宋_GB2312" w:hint="eastAsia"/>
          <w:sz w:val="32"/>
          <w:szCs w:val="32"/>
        </w:rPr>
        <w:t>控项目、交通秩序管理及装备配置、食品买样抽检及定期监督检验等专项资金</w:t>
      </w:r>
      <w:r>
        <w:rPr>
          <w:rFonts w:ascii="仿宋_GB2312" w:eastAsia="仿宋_GB2312" w:hAnsi="仿宋_GB2312" w:cs="仿宋_GB2312" w:hint="eastAsia"/>
          <w:sz w:val="32"/>
          <w:szCs w:val="32"/>
          <w:lang w:val="en-US"/>
        </w:rPr>
        <w:t>5402</w:t>
      </w:r>
      <w:r>
        <w:rPr>
          <w:rFonts w:ascii="仿宋_GB2312" w:eastAsia="仿宋_GB2312" w:hAnsi="仿宋_GB2312" w:cs="仿宋_GB2312" w:hint="eastAsia"/>
          <w:sz w:val="32"/>
          <w:szCs w:val="32"/>
        </w:rPr>
        <w:t>万元。</w:t>
      </w:r>
    </w:p>
    <w:p w:rsidR="00B32044" w:rsidRDefault="00B32044">
      <w:pPr>
        <w:pStyle w:val="a4"/>
        <w:spacing w:before="14"/>
        <w:rPr>
          <w:sz w:val="50"/>
        </w:rPr>
      </w:pPr>
    </w:p>
    <w:p w:rsidR="00B32044" w:rsidRDefault="002625D2">
      <w:pPr>
        <w:widowControl/>
        <w:spacing w:line="560" w:lineRule="exact"/>
        <w:ind w:firstLine="480"/>
        <w:rPr>
          <w:rFonts w:ascii="黑体" w:eastAsia="黑体"/>
          <w:b/>
          <w:bCs/>
          <w:sz w:val="32"/>
          <w:szCs w:val="32"/>
        </w:rPr>
      </w:pPr>
      <w:r>
        <w:rPr>
          <w:rFonts w:ascii="黑体" w:eastAsia="黑体" w:hint="eastAsia"/>
          <w:b/>
          <w:bCs/>
          <w:sz w:val="32"/>
          <w:szCs w:val="32"/>
        </w:rPr>
        <w:t>三、关于宁东管委会（本级）</w:t>
      </w:r>
      <w:r>
        <w:rPr>
          <w:rFonts w:ascii="黑体" w:eastAsia="黑体" w:hint="eastAsia"/>
          <w:b/>
          <w:bCs/>
          <w:sz w:val="32"/>
          <w:szCs w:val="32"/>
        </w:rPr>
        <w:t>2</w:t>
      </w:r>
      <w:r>
        <w:rPr>
          <w:rFonts w:ascii="黑体" w:eastAsia="黑体" w:hint="eastAsia"/>
          <w:b/>
          <w:bCs/>
          <w:sz w:val="32"/>
          <w:szCs w:val="32"/>
          <w:lang w:val="en-US"/>
        </w:rPr>
        <w:t>022</w:t>
      </w:r>
      <w:r>
        <w:rPr>
          <w:rFonts w:ascii="黑体" w:eastAsia="黑体" w:hint="eastAsia"/>
          <w:b/>
          <w:bCs/>
          <w:sz w:val="32"/>
          <w:szCs w:val="32"/>
        </w:rPr>
        <w:t>年一般公共预算财政拨款“三公”经费预算情况说明</w:t>
      </w:r>
    </w:p>
    <w:p w:rsidR="00B32044" w:rsidRDefault="002625D2">
      <w:pPr>
        <w:widowControl/>
        <w:spacing w:line="560" w:lineRule="exact"/>
        <w:ind w:firstLine="480"/>
        <w:rPr>
          <w:rFonts w:ascii="仿宋_GB2312" w:eastAsia="仿宋_GB2312"/>
          <w:sz w:val="32"/>
          <w:szCs w:val="32"/>
        </w:rPr>
      </w:pPr>
      <w:r>
        <w:rPr>
          <w:rFonts w:ascii="仿宋_GB2312" w:eastAsia="仿宋_GB2312" w:hint="eastAsia"/>
          <w:sz w:val="32"/>
          <w:szCs w:val="32"/>
        </w:rPr>
        <w:t>宁东管委会（本级）</w:t>
      </w:r>
      <w:r>
        <w:rPr>
          <w:rFonts w:ascii="仿宋_GB2312" w:eastAsia="仿宋_GB2312" w:hint="eastAsia"/>
          <w:sz w:val="32"/>
          <w:szCs w:val="32"/>
        </w:rPr>
        <w:t>202</w:t>
      </w:r>
      <w:r>
        <w:rPr>
          <w:rFonts w:ascii="仿宋_GB2312" w:eastAsia="仿宋_GB2312" w:hint="eastAsia"/>
          <w:sz w:val="32"/>
          <w:szCs w:val="32"/>
          <w:lang w:val="en-US"/>
        </w:rPr>
        <w:t>1</w:t>
      </w:r>
      <w:r>
        <w:rPr>
          <w:rFonts w:ascii="仿宋_GB2312" w:eastAsia="仿宋_GB2312" w:hint="eastAsia"/>
          <w:sz w:val="32"/>
          <w:szCs w:val="32"/>
        </w:rPr>
        <w:t>年“三公”经费财政拨款预算数为</w:t>
      </w:r>
      <w:r>
        <w:rPr>
          <w:rFonts w:ascii="仿宋_GB2312" w:eastAsia="仿宋_GB2312" w:hint="eastAsia"/>
          <w:sz w:val="32"/>
          <w:szCs w:val="32"/>
          <w:lang w:val="en-US"/>
        </w:rPr>
        <w:t>54.8</w:t>
      </w:r>
      <w:r>
        <w:rPr>
          <w:rFonts w:ascii="仿宋_GB2312" w:eastAsia="仿宋_GB2312" w:hint="eastAsia"/>
          <w:sz w:val="32"/>
          <w:szCs w:val="32"/>
        </w:rPr>
        <w:t>万元，其中：公务用车购置</w:t>
      </w:r>
      <w:r>
        <w:rPr>
          <w:rFonts w:ascii="仿宋_GB2312" w:eastAsia="仿宋_GB2312" w:hint="eastAsia"/>
          <w:sz w:val="32"/>
          <w:szCs w:val="32"/>
        </w:rPr>
        <w:t>0</w:t>
      </w:r>
      <w:r>
        <w:rPr>
          <w:rFonts w:ascii="仿宋_GB2312" w:eastAsia="仿宋_GB2312" w:hint="eastAsia"/>
          <w:sz w:val="32"/>
          <w:szCs w:val="32"/>
        </w:rPr>
        <w:t>万元，公务用车运行费</w:t>
      </w:r>
      <w:r>
        <w:rPr>
          <w:rFonts w:ascii="仿宋_GB2312" w:eastAsia="仿宋_GB2312" w:hint="eastAsia"/>
          <w:sz w:val="32"/>
          <w:szCs w:val="32"/>
          <w:lang w:val="en-US"/>
        </w:rPr>
        <w:t>36</w:t>
      </w:r>
      <w:r>
        <w:rPr>
          <w:rFonts w:ascii="仿宋_GB2312" w:eastAsia="仿宋_GB2312" w:hint="eastAsia"/>
          <w:sz w:val="32"/>
          <w:szCs w:val="32"/>
        </w:rPr>
        <w:t>万元，公务接待费</w:t>
      </w:r>
      <w:r>
        <w:rPr>
          <w:rFonts w:ascii="仿宋_GB2312" w:eastAsia="仿宋_GB2312" w:hint="eastAsia"/>
          <w:sz w:val="32"/>
          <w:szCs w:val="32"/>
          <w:lang w:val="en-US"/>
        </w:rPr>
        <w:t>18.8</w:t>
      </w:r>
      <w:r>
        <w:rPr>
          <w:rFonts w:ascii="仿宋_GB2312" w:eastAsia="仿宋_GB2312" w:hint="eastAsia"/>
          <w:sz w:val="32"/>
          <w:szCs w:val="32"/>
        </w:rPr>
        <w:t>万元。</w:t>
      </w:r>
    </w:p>
    <w:p w:rsidR="00B32044" w:rsidRDefault="002625D2">
      <w:pPr>
        <w:pStyle w:val="a4"/>
        <w:spacing w:before="60"/>
        <w:ind w:left="747"/>
        <w:rPr>
          <w:rFonts w:ascii="黑体" w:eastAsia="黑体"/>
        </w:rPr>
      </w:pPr>
      <w:r>
        <w:rPr>
          <w:rFonts w:ascii="黑体" w:eastAsia="黑体" w:hint="eastAsia"/>
        </w:rPr>
        <w:t>四、关于宁东管委会</w:t>
      </w:r>
      <w:r>
        <w:rPr>
          <w:rFonts w:ascii="黑体" w:eastAsia="黑体" w:hint="eastAsia"/>
        </w:rPr>
        <w:t xml:space="preserve"> </w:t>
      </w:r>
      <w:r>
        <w:rPr>
          <w:rFonts w:ascii="Times New Roman" w:eastAsia="Times New Roman"/>
        </w:rPr>
        <w:t xml:space="preserve">2022 </w:t>
      </w:r>
      <w:r>
        <w:rPr>
          <w:rFonts w:ascii="黑体" w:eastAsia="黑体" w:hint="eastAsia"/>
        </w:rPr>
        <w:t>年政府性基金预算拨款情况说</w:t>
      </w:r>
    </w:p>
    <w:p w:rsidR="00B32044" w:rsidRDefault="00B32044">
      <w:pPr>
        <w:pStyle w:val="a4"/>
        <w:spacing w:before="7"/>
        <w:rPr>
          <w:rFonts w:ascii="黑体"/>
          <w:sz w:val="10"/>
        </w:rPr>
      </w:pPr>
    </w:p>
    <w:p w:rsidR="00B32044" w:rsidRDefault="002625D2">
      <w:pPr>
        <w:pStyle w:val="a4"/>
        <w:spacing w:before="55"/>
        <w:ind w:left="106"/>
        <w:rPr>
          <w:rFonts w:ascii="黑体" w:eastAsia="黑体"/>
        </w:rPr>
      </w:pPr>
      <w:r>
        <w:rPr>
          <w:rFonts w:ascii="黑体" w:eastAsia="黑体" w:hint="eastAsia"/>
          <w:w w:val="99"/>
        </w:rPr>
        <w:t>明</w:t>
      </w:r>
    </w:p>
    <w:p w:rsidR="00B32044" w:rsidRDefault="002625D2">
      <w:pPr>
        <w:pStyle w:val="3"/>
        <w:spacing w:before="79"/>
      </w:pPr>
      <w:r>
        <w:rPr>
          <w:rFonts w:hint="eastAsia"/>
          <w:spacing w:val="-1"/>
        </w:rPr>
        <w:t>宁东管委会</w:t>
      </w:r>
      <w:r>
        <w:rPr>
          <w:rFonts w:ascii="Times New Roman" w:eastAsia="Times New Roman"/>
        </w:rPr>
        <w:t>2022</w:t>
      </w:r>
      <w:r>
        <w:t>年无政府性基金预算财政拨款收支。</w:t>
      </w:r>
    </w:p>
    <w:p w:rsidR="00B32044" w:rsidRDefault="00B32044">
      <w:pPr>
        <w:pStyle w:val="a4"/>
        <w:spacing w:before="10"/>
        <w:rPr>
          <w:b/>
          <w:sz w:val="47"/>
        </w:rPr>
      </w:pPr>
    </w:p>
    <w:p w:rsidR="00B32044" w:rsidRDefault="002625D2" w:rsidP="00AB2094">
      <w:pPr>
        <w:widowControl/>
        <w:spacing w:line="560" w:lineRule="exact"/>
        <w:ind w:firstLineChars="200" w:firstLine="643"/>
        <w:rPr>
          <w:rFonts w:ascii="黑体" w:eastAsia="黑体"/>
          <w:b/>
          <w:bCs/>
          <w:sz w:val="32"/>
          <w:szCs w:val="32"/>
        </w:rPr>
      </w:pPr>
      <w:r>
        <w:rPr>
          <w:rFonts w:ascii="黑体" w:eastAsia="黑体" w:hint="eastAsia"/>
          <w:b/>
          <w:bCs/>
          <w:sz w:val="32"/>
          <w:szCs w:val="32"/>
        </w:rPr>
        <w:t>五、关于宁东管委会（本级）</w:t>
      </w:r>
      <w:r>
        <w:rPr>
          <w:rFonts w:ascii="黑体" w:eastAsia="黑体" w:hint="eastAsia"/>
          <w:b/>
          <w:bCs/>
          <w:sz w:val="32"/>
          <w:szCs w:val="32"/>
        </w:rPr>
        <w:t>202</w:t>
      </w:r>
      <w:r>
        <w:rPr>
          <w:rFonts w:ascii="黑体" w:eastAsia="黑体" w:hint="eastAsia"/>
          <w:b/>
          <w:bCs/>
          <w:sz w:val="32"/>
          <w:szCs w:val="32"/>
          <w:lang w:val="en-US"/>
        </w:rPr>
        <w:t>2</w:t>
      </w:r>
      <w:r>
        <w:rPr>
          <w:rFonts w:ascii="黑体" w:eastAsia="黑体" w:hint="eastAsia"/>
          <w:b/>
          <w:bCs/>
          <w:sz w:val="32"/>
          <w:szCs w:val="32"/>
        </w:rPr>
        <w:t>年收支预算情况的总体说明</w:t>
      </w:r>
    </w:p>
    <w:p w:rsidR="00B32044" w:rsidRDefault="002625D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宁东管委会（本级）</w:t>
      </w:r>
      <w:r>
        <w:rPr>
          <w:rFonts w:ascii="仿宋_GB2312" w:eastAsia="仿宋_GB2312" w:hint="eastAsia"/>
          <w:sz w:val="32"/>
          <w:szCs w:val="32"/>
        </w:rPr>
        <w:t>202</w:t>
      </w:r>
      <w:r>
        <w:rPr>
          <w:rFonts w:ascii="仿宋_GB2312" w:eastAsia="仿宋_GB2312" w:hint="eastAsia"/>
          <w:sz w:val="32"/>
          <w:szCs w:val="32"/>
          <w:lang w:val="en-US"/>
        </w:rPr>
        <w:t>2</w:t>
      </w:r>
      <w:r>
        <w:rPr>
          <w:rFonts w:ascii="仿宋_GB2312" w:eastAsia="仿宋_GB2312" w:hint="eastAsia"/>
          <w:sz w:val="32"/>
          <w:szCs w:val="32"/>
        </w:rPr>
        <w:t>年收入总预算</w:t>
      </w:r>
      <w:r>
        <w:rPr>
          <w:rFonts w:ascii="仿宋_GB2312" w:eastAsia="仿宋_GB2312" w:hint="eastAsia"/>
          <w:sz w:val="32"/>
          <w:szCs w:val="32"/>
        </w:rPr>
        <w:t>12463.47</w:t>
      </w:r>
      <w:r>
        <w:rPr>
          <w:rFonts w:ascii="仿宋_GB2312" w:eastAsia="仿宋_GB2312" w:hint="eastAsia"/>
          <w:sz w:val="32"/>
          <w:szCs w:val="32"/>
        </w:rPr>
        <w:t>万元，其中：本年收入</w:t>
      </w:r>
      <w:r>
        <w:rPr>
          <w:rFonts w:ascii="仿宋_GB2312" w:eastAsia="仿宋_GB2312" w:hint="eastAsia"/>
          <w:sz w:val="32"/>
          <w:szCs w:val="32"/>
        </w:rPr>
        <w:t>12463.47</w:t>
      </w:r>
      <w:r>
        <w:rPr>
          <w:rFonts w:ascii="仿宋_GB2312" w:eastAsia="仿宋_GB2312" w:hint="eastAsia"/>
          <w:sz w:val="32"/>
          <w:szCs w:val="32"/>
        </w:rPr>
        <w:t>万元，年末结转结余</w:t>
      </w:r>
      <w:r>
        <w:rPr>
          <w:rFonts w:ascii="仿宋_GB2312" w:eastAsia="仿宋_GB2312" w:hint="eastAsia"/>
          <w:sz w:val="32"/>
          <w:szCs w:val="32"/>
        </w:rPr>
        <w:t>0</w:t>
      </w:r>
      <w:r>
        <w:rPr>
          <w:rFonts w:ascii="仿宋_GB2312" w:eastAsia="仿宋_GB2312" w:hint="eastAsia"/>
          <w:sz w:val="32"/>
          <w:szCs w:val="32"/>
        </w:rPr>
        <w:t>万元；支出总预算</w:t>
      </w:r>
      <w:r>
        <w:rPr>
          <w:rFonts w:ascii="仿宋_GB2312" w:eastAsia="仿宋_GB2312" w:hint="eastAsia"/>
          <w:sz w:val="32"/>
          <w:szCs w:val="32"/>
        </w:rPr>
        <w:t>12463.47</w:t>
      </w:r>
      <w:r>
        <w:rPr>
          <w:rFonts w:ascii="仿宋_GB2312" w:eastAsia="仿宋_GB2312" w:hint="eastAsia"/>
          <w:sz w:val="32"/>
          <w:szCs w:val="32"/>
        </w:rPr>
        <w:t>万元，其中：本年支出</w:t>
      </w:r>
      <w:r>
        <w:rPr>
          <w:rFonts w:ascii="仿宋_GB2312" w:eastAsia="仿宋_GB2312" w:hint="eastAsia"/>
          <w:sz w:val="32"/>
          <w:szCs w:val="32"/>
        </w:rPr>
        <w:t>12463.47</w:t>
      </w:r>
      <w:r>
        <w:rPr>
          <w:rFonts w:ascii="仿宋_GB2312" w:eastAsia="仿宋_GB2312" w:hint="eastAsia"/>
          <w:sz w:val="32"/>
          <w:szCs w:val="32"/>
        </w:rPr>
        <w:t>万元，年末结转结余</w:t>
      </w:r>
      <w:r>
        <w:rPr>
          <w:rFonts w:ascii="仿宋_GB2312" w:eastAsia="仿宋_GB2312" w:hint="eastAsia"/>
          <w:sz w:val="32"/>
          <w:szCs w:val="32"/>
        </w:rPr>
        <w:t>0</w:t>
      </w:r>
      <w:r>
        <w:rPr>
          <w:rFonts w:ascii="仿宋_GB2312" w:eastAsia="仿宋_GB2312" w:hint="eastAsia"/>
          <w:sz w:val="32"/>
          <w:szCs w:val="32"/>
        </w:rPr>
        <w:t>万元。</w:t>
      </w:r>
    </w:p>
    <w:p w:rsidR="00B32044" w:rsidRDefault="002625D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本年收入包括：财政拨款预算收入</w:t>
      </w:r>
      <w:r>
        <w:rPr>
          <w:rFonts w:ascii="仿宋_GB2312" w:eastAsia="仿宋_GB2312" w:hint="eastAsia"/>
          <w:sz w:val="32"/>
          <w:szCs w:val="32"/>
        </w:rPr>
        <w:t>12463.47</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；事业预算收入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；上级补助预算收入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；附</w:t>
      </w:r>
      <w:r>
        <w:rPr>
          <w:rFonts w:ascii="仿宋_GB2312" w:eastAsia="仿宋_GB2312" w:hint="eastAsia"/>
          <w:sz w:val="32"/>
          <w:szCs w:val="32"/>
        </w:rPr>
        <w:lastRenderedPageBreak/>
        <w:t>属单位上缴预算收入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；债务预算收入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；非同级财政拨款预算收入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；投资预算收益</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；其他预算收入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B32044" w:rsidRDefault="002625D2" w:rsidP="00AB2094">
      <w:pPr>
        <w:widowControl/>
        <w:spacing w:line="560" w:lineRule="exact"/>
        <w:ind w:leftChars="85" w:left="187" w:firstLineChars="113" w:firstLine="362"/>
        <w:rPr>
          <w:rFonts w:ascii="仿宋_GB2312" w:eastAsia="仿宋_GB2312"/>
          <w:sz w:val="32"/>
          <w:szCs w:val="32"/>
        </w:rPr>
      </w:pPr>
      <w:r>
        <w:rPr>
          <w:rFonts w:ascii="仿宋_GB2312" w:eastAsia="仿宋_GB2312" w:hint="eastAsia"/>
          <w:sz w:val="32"/>
          <w:szCs w:val="32"/>
        </w:rPr>
        <w:t>本年支出包括：行政支出</w:t>
      </w:r>
      <w:r>
        <w:rPr>
          <w:rFonts w:ascii="仿宋_GB2312" w:eastAsia="仿宋_GB2312" w:hint="eastAsia"/>
          <w:sz w:val="32"/>
          <w:szCs w:val="32"/>
        </w:rPr>
        <w:t>12463.47</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；事业支出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；上缴上级支出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；对附属单位补助支出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；投资支出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；债务还本支出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；其他支出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B32044" w:rsidRDefault="002625D2">
      <w:pPr>
        <w:widowControl/>
        <w:spacing w:line="560" w:lineRule="exact"/>
        <w:ind w:firstLine="480"/>
        <w:rPr>
          <w:rFonts w:ascii="黑体" w:eastAsia="黑体"/>
          <w:b/>
          <w:bCs/>
          <w:sz w:val="32"/>
          <w:szCs w:val="32"/>
        </w:rPr>
      </w:pPr>
      <w:r>
        <w:rPr>
          <w:rFonts w:ascii="黑体" w:eastAsia="黑体" w:hint="eastAsia"/>
          <w:b/>
          <w:bCs/>
          <w:sz w:val="32"/>
          <w:szCs w:val="32"/>
        </w:rPr>
        <w:t>六、其他重要事项的情况说明</w:t>
      </w:r>
    </w:p>
    <w:p w:rsidR="00B32044" w:rsidRDefault="002625D2">
      <w:pPr>
        <w:widowControl/>
        <w:spacing w:line="560" w:lineRule="exact"/>
        <w:ind w:firstLine="480"/>
        <w:rPr>
          <w:rFonts w:ascii="仿宋_GB2312" w:eastAsia="仿宋_GB2312"/>
          <w:sz w:val="32"/>
          <w:szCs w:val="32"/>
        </w:rPr>
      </w:pPr>
      <w:r>
        <w:rPr>
          <w:rFonts w:ascii="仿宋_GB2312" w:eastAsia="仿宋_GB2312" w:hint="eastAsia"/>
          <w:sz w:val="32"/>
          <w:szCs w:val="32"/>
        </w:rPr>
        <w:t>（一）机关运行经费</w:t>
      </w:r>
    </w:p>
    <w:p w:rsidR="00B32044" w:rsidRDefault="002625D2">
      <w:pPr>
        <w:widowControl/>
        <w:spacing w:line="560" w:lineRule="exact"/>
        <w:ind w:firstLine="48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年基本支出预算安排较上年</w:t>
      </w:r>
      <w:r>
        <w:rPr>
          <w:rFonts w:eastAsia="仿宋_GB2312" w:hint="eastAsia"/>
          <w:sz w:val="32"/>
          <w:szCs w:val="32"/>
        </w:rPr>
        <w:t>增加</w:t>
      </w:r>
      <w:r>
        <w:rPr>
          <w:rFonts w:eastAsia="仿宋_GB2312" w:hint="eastAsia"/>
          <w:sz w:val="32"/>
          <w:szCs w:val="32"/>
          <w:lang w:val="en-US"/>
        </w:rPr>
        <w:t>758</w:t>
      </w:r>
      <w:r>
        <w:rPr>
          <w:rFonts w:eastAsia="仿宋_GB2312"/>
          <w:sz w:val="32"/>
          <w:szCs w:val="32"/>
        </w:rPr>
        <w:t>万元，</w:t>
      </w:r>
      <w:r>
        <w:rPr>
          <w:rFonts w:eastAsia="仿宋_GB2312" w:hint="eastAsia"/>
          <w:sz w:val="32"/>
          <w:szCs w:val="32"/>
        </w:rPr>
        <w:t>同比增加</w:t>
      </w:r>
      <w:r>
        <w:rPr>
          <w:rFonts w:eastAsia="仿宋_GB2312" w:hint="eastAsia"/>
          <w:sz w:val="32"/>
          <w:szCs w:val="32"/>
          <w:lang w:val="en-US"/>
        </w:rPr>
        <w:t>2.23</w:t>
      </w:r>
      <w:r>
        <w:rPr>
          <w:rFonts w:eastAsia="仿宋_GB2312"/>
          <w:sz w:val="32"/>
          <w:szCs w:val="32"/>
        </w:rPr>
        <w:t>%</w:t>
      </w:r>
      <w:r>
        <w:rPr>
          <w:rFonts w:eastAsia="仿宋_GB2312"/>
          <w:sz w:val="32"/>
          <w:szCs w:val="32"/>
        </w:rPr>
        <w:t>。基本支出预算较上年</w:t>
      </w:r>
      <w:r>
        <w:rPr>
          <w:rFonts w:eastAsia="仿宋_GB2312" w:hint="eastAsia"/>
          <w:sz w:val="32"/>
          <w:szCs w:val="32"/>
        </w:rPr>
        <w:t>增加</w:t>
      </w:r>
      <w:r>
        <w:rPr>
          <w:rFonts w:eastAsia="仿宋_GB2312"/>
          <w:sz w:val="32"/>
          <w:szCs w:val="32"/>
        </w:rPr>
        <w:t>的主要原因</w:t>
      </w:r>
      <w:r>
        <w:rPr>
          <w:rFonts w:eastAsia="仿宋_GB2312" w:hint="eastAsia"/>
          <w:sz w:val="32"/>
          <w:szCs w:val="32"/>
        </w:rPr>
        <w:t>：</w:t>
      </w:r>
      <w:r>
        <w:rPr>
          <w:rFonts w:eastAsia="仿宋_GB2312" w:hint="eastAsia"/>
          <w:sz w:val="32"/>
          <w:szCs w:val="32"/>
          <w:lang w:val="en-US"/>
        </w:rPr>
        <w:t>2021</w:t>
      </w:r>
      <w:r>
        <w:rPr>
          <w:rFonts w:eastAsia="仿宋_GB2312" w:hint="eastAsia"/>
          <w:sz w:val="32"/>
          <w:szCs w:val="32"/>
          <w:lang w:val="en-US"/>
        </w:rPr>
        <w:t>年年中</w:t>
      </w:r>
      <w:r>
        <w:rPr>
          <w:rFonts w:eastAsia="仿宋_GB2312" w:hint="eastAsia"/>
          <w:sz w:val="32"/>
          <w:szCs w:val="32"/>
        </w:rPr>
        <w:t>机构改革，部门增加导致支出有所增加。</w:t>
      </w:r>
    </w:p>
    <w:p w:rsidR="00B32044" w:rsidRDefault="002625D2">
      <w:pPr>
        <w:widowControl/>
        <w:spacing w:line="560" w:lineRule="exact"/>
        <w:ind w:firstLine="480"/>
        <w:rPr>
          <w:rFonts w:ascii="仿宋_GB2312" w:eastAsia="仿宋_GB2312"/>
          <w:sz w:val="32"/>
          <w:szCs w:val="32"/>
        </w:rPr>
      </w:pPr>
      <w:r>
        <w:rPr>
          <w:rFonts w:ascii="仿宋_GB2312" w:eastAsia="仿宋_GB2312" w:hint="eastAsia"/>
          <w:sz w:val="32"/>
          <w:szCs w:val="32"/>
        </w:rPr>
        <w:t>（二）国有资产占用使用情况</w:t>
      </w:r>
    </w:p>
    <w:p w:rsidR="00B32044" w:rsidRDefault="002625D2">
      <w:pPr>
        <w:widowControl/>
        <w:spacing w:line="560" w:lineRule="exact"/>
        <w:ind w:firstLine="480"/>
        <w:rPr>
          <w:rFonts w:ascii="仿宋_GB2312" w:eastAsia="仿宋_GB2312"/>
          <w:sz w:val="32"/>
          <w:szCs w:val="32"/>
          <w:lang w:val="en-US"/>
        </w:rPr>
      </w:pPr>
      <w:r>
        <w:rPr>
          <w:rFonts w:ascii="仿宋_GB2312" w:eastAsia="仿宋_GB2312" w:hint="eastAsia"/>
          <w:sz w:val="32"/>
          <w:szCs w:val="32"/>
        </w:rPr>
        <w:t>截至</w:t>
      </w:r>
      <w:r>
        <w:rPr>
          <w:rFonts w:ascii="仿宋_GB2312" w:eastAsia="仿宋_GB2312" w:hint="eastAsia"/>
          <w:sz w:val="32"/>
          <w:szCs w:val="32"/>
        </w:rPr>
        <w:t>20</w:t>
      </w:r>
      <w:r>
        <w:rPr>
          <w:rFonts w:ascii="仿宋_GB2312" w:eastAsia="仿宋_GB2312" w:hint="eastAsia"/>
          <w:sz w:val="32"/>
          <w:szCs w:val="32"/>
          <w:lang w:val="en-US"/>
        </w:rPr>
        <w:t>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日，宁东管委会（本级）占用使用国</w:t>
      </w:r>
      <w:r>
        <w:rPr>
          <w:rFonts w:ascii="仿宋_GB2312" w:eastAsia="仿宋_GB2312" w:hint="eastAsia"/>
          <w:sz w:val="32"/>
          <w:szCs w:val="32"/>
          <w:lang w:val="en-US"/>
        </w:rPr>
        <w:t>有资产总体情况为车辆</w:t>
      </w:r>
      <w:r>
        <w:rPr>
          <w:rFonts w:ascii="仿宋_GB2312" w:eastAsia="仿宋_GB2312" w:hint="eastAsia"/>
          <w:sz w:val="32"/>
          <w:szCs w:val="32"/>
          <w:lang w:val="en-US"/>
        </w:rPr>
        <w:t>19</w:t>
      </w:r>
      <w:r>
        <w:rPr>
          <w:rFonts w:ascii="仿宋_GB2312" w:eastAsia="仿宋_GB2312" w:hint="eastAsia"/>
          <w:sz w:val="32"/>
          <w:szCs w:val="32"/>
          <w:lang w:val="en-US"/>
        </w:rPr>
        <w:t>辆，价值</w:t>
      </w:r>
      <w:r>
        <w:rPr>
          <w:rFonts w:ascii="仿宋_GB2312" w:eastAsia="仿宋_GB2312" w:hint="eastAsia"/>
          <w:sz w:val="32"/>
          <w:szCs w:val="32"/>
          <w:lang w:val="en-US"/>
        </w:rPr>
        <w:t>399.88</w:t>
      </w:r>
      <w:r>
        <w:rPr>
          <w:rFonts w:ascii="仿宋_GB2312" w:eastAsia="仿宋_GB2312" w:hint="eastAsia"/>
          <w:sz w:val="32"/>
          <w:szCs w:val="32"/>
          <w:lang w:val="en-US"/>
        </w:rPr>
        <w:t>万元；办公家具价值</w:t>
      </w:r>
      <w:r>
        <w:rPr>
          <w:rFonts w:ascii="仿宋_GB2312" w:eastAsia="仿宋_GB2312" w:hint="eastAsia"/>
          <w:sz w:val="32"/>
          <w:szCs w:val="32"/>
          <w:lang w:val="en-US"/>
        </w:rPr>
        <w:t>153.9</w:t>
      </w:r>
      <w:r>
        <w:rPr>
          <w:rFonts w:ascii="仿宋_GB2312" w:eastAsia="仿宋_GB2312" w:hint="eastAsia"/>
          <w:sz w:val="32"/>
          <w:szCs w:val="32"/>
          <w:lang w:val="en-US"/>
        </w:rPr>
        <w:t>万元；其他资产价值</w:t>
      </w:r>
      <w:r>
        <w:rPr>
          <w:rFonts w:ascii="仿宋_GB2312" w:eastAsia="仿宋_GB2312" w:hint="eastAsia"/>
          <w:sz w:val="32"/>
          <w:szCs w:val="32"/>
          <w:lang w:val="en-US"/>
        </w:rPr>
        <w:t>1400.34</w:t>
      </w:r>
      <w:r>
        <w:rPr>
          <w:rFonts w:ascii="仿宋_GB2312" w:eastAsia="仿宋_GB2312" w:hint="eastAsia"/>
          <w:sz w:val="32"/>
          <w:szCs w:val="32"/>
          <w:lang w:val="en-US"/>
        </w:rPr>
        <w:t>万元。</w:t>
      </w:r>
    </w:p>
    <w:p w:rsidR="00B32044" w:rsidRDefault="002625D2">
      <w:pPr>
        <w:widowControl/>
        <w:spacing w:line="560" w:lineRule="exact"/>
        <w:ind w:firstLine="480"/>
        <w:rPr>
          <w:rFonts w:ascii="仿宋_GB2312" w:eastAsia="仿宋_GB2312"/>
          <w:sz w:val="32"/>
          <w:szCs w:val="32"/>
          <w:lang w:val="en-US"/>
        </w:rPr>
      </w:pPr>
      <w:r>
        <w:rPr>
          <w:rFonts w:ascii="仿宋_GB2312" w:eastAsia="仿宋_GB2312" w:hint="eastAsia"/>
          <w:sz w:val="32"/>
          <w:szCs w:val="32"/>
          <w:lang w:val="en-US"/>
        </w:rPr>
        <w:t>（三）预算绩效情况</w:t>
      </w:r>
    </w:p>
    <w:p w:rsidR="00B32044" w:rsidRDefault="002625D2">
      <w:pPr>
        <w:pStyle w:val="a4"/>
        <w:spacing w:before="1"/>
        <w:rPr>
          <w:rFonts w:ascii="仿宋_GB2312"/>
          <w:sz w:val="45"/>
        </w:rPr>
      </w:pPr>
      <w:r>
        <w:rPr>
          <w:rFonts w:ascii="仿宋_GB2312" w:eastAsia="仿宋_GB2312" w:hAnsi="宋体" w:cs="宋体" w:hint="eastAsia"/>
        </w:rPr>
        <w:t xml:space="preserve"> </w:t>
      </w:r>
      <w:r>
        <w:rPr>
          <w:rFonts w:ascii="仿宋_GB2312" w:eastAsia="仿宋_GB2312" w:hAnsi="宋体" w:cs="宋体"/>
        </w:rPr>
        <w:t>202</w:t>
      </w:r>
      <w:r>
        <w:rPr>
          <w:rFonts w:ascii="仿宋_GB2312" w:eastAsia="仿宋_GB2312" w:hAnsi="宋体" w:cs="宋体" w:hint="eastAsia"/>
          <w:lang w:val="en-US"/>
        </w:rPr>
        <w:t>2</w:t>
      </w:r>
      <w:r>
        <w:rPr>
          <w:rFonts w:ascii="仿宋_GB2312" w:eastAsia="仿宋_GB2312" w:hAnsi="宋体" w:cs="宋体"/>
        </w:rPr>
        <w:t>年</w:t>
      </w:r>
      <w:r>
        <w:rPr>
          <w:rFonts w:ascii="仿宋_GB2312" w:eastAsia="仿宋_GB2312" w:hAnsi="宋体" w:cs="宋体" w:hint="eastAsia"/>
        </w:rPr>
        <w:t>管委会本级共</w:t>
      </w:r>
      <w:r>
        <w:rPr>
          <w:rFonts w:ascii="仿宋_GB2312" w:eastAsia="仿宋_GB2312" w:hAnsi="宋体" w:cs="宋体" w:hint="eastAsia"/>
        </w:rPr>
        <w:t>14</w:t>
      </w:r>
      <w:r>
        <w:rPr>
          <w:rFonts w:ascii="仿宋_GB2312" w:eastAsia="仿宋_GB2312" w:hAnsi="宋体" w:cs="宋体" w:hint="eastAsia"/>
        </w:rPr>
        <w:t>部门，</w:t>
      </w:r>
      <w:r>
        <w:rPr>
          <w:rFonts w:ascii="仿宋_GB2312" w:eastAsia="仿宋_GB2312" w:hAnsi="宋体" w:cs="宋体"/>
        </w:rPr>
        <w:t>设置项目支出预算绩效目标，分别</w:t>
      </w:r>
      <w:r>
        <w:rPr>
          <w:rFonts w:ascii="仿宋_GB2312" w:eastAsia="仿宋_GB2312" w:hAnsi="宋体" w:cs="宋体" w:hint="eastAsia"/>
        </w:rPr>
        <w:t>是涉及运转性支出、节能环保、扫黑除恶、装备采购以及</w:t>
      </w:r>
      <w:proofErr w:type="gramStart"/>
      <w:r>
        <w:rPr>
          <w:rFonts w:ascii="仿宋_GB2312" w:eastAsia="仿宋_GB2312" w:hAnsi="宋体" w:cs="宋体" w:hint="eastAsia"/>
        </w:rPr>
        <w:t>非预算</w:t>
      </w:r>
      <w:proofErr w:type="gramEnd"/>
      <w:r>
        <w:rPr>
          <w:rFonts w:ascii="仿宋_GB2312" w:eastAsia="仿宋_GB2312" w:hAnsi="宋体" w:cs="宋体" w:hint="eastAsia"/>
        </w:rPr>
        <w:t>服务部门支出</w:t>
      </w:r>
      <w:r>
        <w:rPr>
          <w:rFonts w:ascii="仿宋_GB2312" w:eastAsia="仿宋_GB2312" w:hAnsi="宋体" w:cs="宋体"/>
        </w:rPr>
        <w:t>项目</w:t>
      </w:r>
      <w:r>
        <w:rPr>
          <w:rFonts w:ascii="仿宋_GB2312" w:eastAsia="仿宋_GB2312" w:hAnsi="宋体" w:cs="宋体" w:hint="eastAsia"/>
        </w:rPr>
        <w:t>。</w:t>
      </w:r>
    </w:p>
    <w:p w:rsidR="00B32044" w:rsidRDefault="00B32044">
      <w:pPr>
        <w:pStyle w:val="a4"/>
        <w:rPr>
          <w:b/>
          <w:sz w:val="42"/>
        </w:rPr>
      </w:pPr>
    </w:p>
    <w:p w:rsidR="00B32044" w:rsidRDefault="00B32044">
      <w:pPr>
        <w:pStyle w:val="a4"/>
        <w:rPr>
          <w:b/>
          <w:sz w:val="42"/>
        </w:rPr>
      </w:pPr>
    </w:p>
    <w:p w:rsidR="00B32044" w:rsidRDefault="00B32044">
      <w:pPr>
        <w:pStyle w:val="a4"/>
        <w:spacing w:before="15"/>
        <w:rPr>
          <w:b/>
          <w:sz w:val="33"/>
        </w:rPr>
      </w:pPr>
    </w:p>
    <w:p w:rsidR="00B32044" w:rsidRDefault="00B32044">
      <w:pPr>
        <w:pStyle w:val="a4"/>
        <w:spacing w:before="15"/>
        <w:rPr>
          <w:b/>
          <w:sz w:val="33"/>
        </w:rPr>
      </w:pPr>
    </w:p>
    <w:p w:rsidR="00B32044" w:rsidRDefault="00B32044">
      <w:pPr>
        <w:pStyle w:val="a4"/>
        <w:spacing w:before="15"/>
        <w:rPr>
          <w:b/>
          <w:sz w:val="33"/>
        </w:rPr>
      </w:pPr>
    </w:p>
    <w:p w:rsidR="00B32044" w:rsidRDefault="00B32044">
      <w:pPr>
        <w:pStyle w:val="a4"/>
        <w:spacing w:before="15"/>
        <w:rPr>
          <w:b/>
          <w:sz w:val="33"/>
        </w:rPr>
      </w:pPr>
    </w:p>
    <w:p w:rsidR="00B32044" w:rsidRDefault="00B32044">
      <w:pPr>
        <w:pStyle w:val="a4"/>
        <w:spacing w:before="15"/>
        <w:rPr>
          <w:b/>
          <w:sz w:val="33"/>
        </w:rPr>
      </w:pPr>
    </w:p>
    <w:p w:rsidR="00B32044" w:rsidRDefault="002625D2">
      <w:pPr>
        <w:ind w:left="106"/>
        <w:jc w:val="center"/>
        <w:rPr>
          <w:rFonts w:ascii="仿宋_GB2312" w:eastAsia="仿宋_GB2312" w:hAnsi="Times New Roman"/>
          <w:sz w:val="44"/>
        </w:rPr>
      </w:pPr>
      <w:r>
        <w:rPr>
          <w:rFonts w:ascii="仿宋_GB2312" w:eastAsia="仿宋_GB2312" w:hAnsi="Arial Unicode MS" w:hint="eastAsia"/>
          <w:sz w:val="44"/>
        </w:rPr>
        <w:t>宁东管委会（本级）</w:t>
      </w:r>
      <w:r>
        <w:rPr>
          <w:rFonts w:ascii="仿宋_GB2312" w:eastAsia="仿宋_GB2312" w:hAnsi="Arial Unicode MS" w:hint="eastAsia"/>
          <w:sz w:val="44"/>
        </w:rPr>
        <w:t xml:space="preserve"> </w:t>
      </w:r>
      <w:r>
        <w:rPr>
          <w:rFonts w:ascii="仿宋_GB2312" w:eastAsia="仿宋_GB2312" w:hAnsi="Times New Roman" w:hint="eastAsia"/>
          <w:sz w:val="44"/>
        </w:rPr>
        <w:t xml:space="preserve">2022 </w:t>
      </w:r>
      <w:proofErr w:type="gramStart"/>
      <w:r>
        <w:rPr>
          <w:rFonts w:ascii="仿宋_GB2312" w:eastAsia="仿宋_GB2312" w:hAnsi="Arial Unicode MS" w:hint="eastAsia"/>
          <w:sz w:val="44"/>
        </w:rPr>
        <w:t>年部门</w:t>
      </w:r>
      <w:proofErr w:type="gramEnd"/>
      <w:r>
        <w:rPr>
          <w:rFonts w:ascii="仿宋_GB2312" w:eastAsia="仿宋_GB2312" w:hAnsi="Arial Unicode MS" w:hint="eastAsia"/>
          <w:sz w:val="44"/>
        </w:rPr>
        <w:t>预算</w:t>
      </w:r>
      <w:r>
        <w:rPr>
          <w:rFonts w:ascii="仿宋_GB2312" w:eastAsia="仿宋_GB2312" w:hAnsi="Times New Roman" w:hint="eastAsia"/>
          <w:sz w:val="44"/>
        </w:rPr>
        <w:t>——</w:t>
      </w:r>
      <w:r>
        <w:rPr>
          <w:rFonts w:ascii="仿宋_GB2312" w:eastAsia="仿宋_GB2312" w:hAnsi="Arial Unicode MS" w:hint="eastAsia"/>
          <w:sz w:val="44"/>
        </w:rPr>
        <w:t>名词解释</w:t>
      </w:r>
    </w:p>
    <w:p w:rsidR="00B32044" w:rsidRDefault="00B32044">
      <w:pPr>
        <w:pStyle w:val="a4"/>
        <w:spacing w:before="3"/>
        <w:rPr>
          <w:rFonts w:ascii="Arial Unicode MS"/>
          <w:sz w:val="44"/>
        </w:rPr>
      </w:pPr>
    </w:p>
    <w:p w:rsidR="00B32044" w:rsidRDefault="002625D2">
      <w:pPr>
        <w:pStyle w:val="a4"/>
        <w:spacing w:line="285" w:lineRule="auto"/>
        <w:ind w:left="106" w:right="273" w:firstLine="640"/>
      </w:pPr>
      <w:r>
        <w:t>一、支出功能分类科目编码、名称：按照《</w:t>
      </w:r>
      <w:r>
        <w:rPr>
          <w:rFonts w:ascii="Times New Roman" w:eastAsia="Times New Roman" w:hAnsi="Times New Roman"/>
        </w:rPr>
        <w:t>20</w:t>
      </w:r>
      <w:r>
        <w:rPr>
          <w:rFonts w:ascii="Times New Roman" w:eastAsia="宋体" w:hAnsi="Times New Roman" w:hint="eastAsia"/>
          <w:lang w:val="en-US"/>
        </w:rPr>
        <w:t>22</w:t>
      </w:r>
      <w:r>
        <w:rPr>
          <w:rFonts w:ascii="Times New Roman" w:eastAsia="Times New Roman" w:hAnsi="Times New Roman"/>
        </w:rPr>
        <w:t xml:space="preserve"> </w:t>
      </w:r>
      <w:r>
        <w:t>年政府收支分类科目》</w:t>
      </w:r>
      <w:r>
        <w:rPr>
          <w:rFonts w:ascii="Times New Roman" w:eastAsia="Times New Roman" w:hAnsi="Times New Roman"/>
        </w:rPr>
        <w:t>“</w:t>
      </w:r>
      <w:r>
        <w:t>类</w:t>
      </w:r>
      <w:r>
        <w:rPr>
          <w:rFonts w:ascii="Times New Roman" w:eastAsia="Times New Roman" w:hAnsi="Times New Roman"/>
        </w:rPr>
        <w:t>”</w:t>
      </w:r>
      <w:r>
        <w:t>、</w:t>
      </w:r>
      <w:r>
        <w:rPr>
          <w:rFonts w:ascii="Times New Roman" w:eastAsia="Times New Roman" w:hAnsi="Times New Roman"/>
        </w:rPr>
        <w:t>“</w:t>
      </w:r>
      <w:r>
        <w:t>款</w:t>
      </w:r>
      <w:r>
        <w:rPr>
          <w:rFonts w:ascii="Times New Roman" w:eastAsia="Times New Roman" w:hAnsi="Times New Roman"/>
        </w:rPr>
        <w:t>”</w:t>
      </w:r>
      <w:r>
        <w:t>、</w:t>
      </w:r>
      <w:r>
        <w:rPr>
          <w:rFonts w:ascii="Times New Roman" w:eastAsia="Times New Roman" w:hAnsi="Times New Roman"/>
        </w:rPr>
        <w:t>“</w:t>
      </w:r>
      <w:r>
        <w:t>项</w:t>
      </w:r>
      <w:r>
        <w:rPr>
          <w:rFonts w:ascii="Times New Roman" w:eastAsia="Times New Roman" w:hAnsi="Times New Roman"/>
        </w:rPr>
        <w:t>”</w:t>
      </w:r>
      <w:r>
        <w:t>的编码和名称填列</w:t>
      </w:r>
    </w:p>
    <w:p w:rsidR="00B32044" w:rsidRDefault="002625D2">
      <w:pPr>
        <w:pStyle w:val="a4"/>
        <w:spacing w:line="524" w:lineRule="exact"/>
        <w:ind w:left="747"/>
      </w:pPr>
      <w:r>
        <w:t>二、本年收入：是指单位本年度取得的全部收入。</w:t>
      </w:r>
    </w:p>
    <w:p w:rsidR="00B32044" w:rsidRDefault="002625D2">
      <w:pPr>
        <w:pStyle w:val="a4"/>
        <w:spacing w:before="99" w:line="285" w:lineRule="auto"/>
        <w:ind w:left="106" w:right="114" w:firstLine="640"/>
      </w:pPr>
      <w:r>
        <w:rPr>
          <w:spacing w:val="-18"/>
          <w:w w:val="95"/>
        </w:rPr>
        <w:t>三、上年结转：是指单位上年结转本年使用的基本支出结转、</w:t>
      </w:r>
      <w:r>
        <w:rPr>
          <w:spacing w:val="-18"/>
          <w:w w:val="95"/>
        </w:rPr>
        <w:t xml:space="preserve">  </w:t>
      </w:r>
      <w:r>
        <w:rPr>
          <w:spacing w:val="-18"/>
        </w:rPr>
        <w:t>项目支出结转和结余和经营结余。</w:t>
      </w:r>
    </w:p>
    <w:p w:rsidR="00B32044" w:rsidRDefault="002625D2">
      <w:pPr>
        <w:pStyle w:val="a4"/>
        <w:spacing w:line="524" w:lineRule="exact"/>
        <w:ind w:left="747"/>
      </w:pPr>
      <w:r>
        <w:t>四、本年支出：是指单位本年度全部支出。</w:t>
      </w:r>
    </w:p>
    <w:p w:rsidR="00B32044" w:rsidRDefault="002625D2">
      <w:pPr>
        <w:pStyle w:val="a4"/>
        <w:spacing w:before="99" w:line="285" w:lineRule="auto"/>
        <w:ind w:left="106" w:right="271" w:firstLine="640"/>
        <w:jc w:val="both"/>
      </w:pPr>
      <w:r>
        <w:rPr>
          <w:spacing w:val="-11"/>
        </w:rPr>
        <w:t>五、财政拨款收入：是指单位本年度从本级财政部门取得的</w:t>
      </w:r>
      <w:r>
        <w:rPr>
          <w:spacing w:val="-14"/>
        </w:rPr>
        <w:t>财政拨款，包括一般公共预算财政拨款和政府性基金预算财政拨款</w:t>
      </w:r>
      <w:r>
        <w:rPr>
          <w:rFonts w:hint="eastAsia"/>
          <w:spacing w:val="-14"/>
        </w:rPr>
        <w:t>。</w:t>
      </w:r>
      <w:r>
        <w:rPr>
          <w:spacing w:val="-11"/>
        </w:rPr>
        <w:t>六、事业收入：是指事业单位开展专业业务活动及其辅助活动取得的收入。</w:t>
      </w:r>
    </w:p>
    <w:p w:rsidR="00B32044" w:rsidRDefault="002625D2">
      <w:pPr>
        <w:pStyle w:val="a4"/>
        <w:spacing w:line="285" w:lineRule="auto"/>
        <w:ind w:left="106" w:right="273" w:firstLine="640"/>
      </w:pPr>
      <w:r>
        <w:rPr>
          <w:spacing w:val="-11"/>
        </w:rPr>
        <w:t>七、</w:t>
      </w:r>
      <w:r>
        <w:rPr>
          <w:spacing w:val="-12"/>
        </w:rPr>
        <w:t>基本支出：是指单位为保障机构正常运转、完成日常工作任务而发生的各项支出。</w:t>
      </w:r>
    </w:p>
    <w:p w:rsidR="00B32044" w:rsidRDefault="002625D2">
      <w:pPr>
        <w:pStyle w:val="a4"/>
        <w:spacing w:line="285" w:lineRule="auto"/>
        <w:ind w:left="106" w:right="275" w:firstLine="640"/>
      </w:pPr>
      <w:r>
        <w:rPr>
          <w:rFonts w:hint="eastAsia"/>
          <w:spacing w:val="-11"/>
        </w:rPr>
        <w:t>八</w:t>
      </w:r>
      <w:r>
        <w:rPr>
          <w:spacing w:val="-11"/>
        </w:rPr>
        <w:t>、项目支出：是指单位为完成特定的行政工作任务或事业发展目标，在基本支出之外发生的各项支出。</w:t>
      </w:r>
    </w:p>
    <w:p w:rsidR="00B32044" w:rsidRDefault="002625D2">
      <w:pPr>
        <w:pStyle w:val="a4"/>
        <w:spacing w:line="285" w:lineRule="auto"/>
        <w:ind w:left="106" w:right="271" w:firstLine="640"/>
      </w:pPr>
      <w:r>
        <w:rPr>
          <w:rFonts w:hint="eastAsia"/>
          <w:spacing w:val="-11"/>
        </w:rPr>
        <w:t>九</w:t>
      </w:r>
      <w:r>
        <w:rPr>
          <w:spacing w:val="-11"/>
        </w:rPr>
        <w:t>、人员经费：是指单位基本支出中用一般公共预算财政拨款安排的</w:t>
      </w:r>
      <w:r>
        <w:rPr>
          <w:rFonts w:ascii="Times New Roman" w:eastAsia="Times New Roman" w:hAnsi="Times New Roman"/>
          <w:spacing w:val="-11"/>
        </w:rPr>
        <w:t>“</w:t>
      </w:r>
      <w:r>
        <w:rPr>
          <w:spacing w:val="-11"/>
        </w:rPr>
        <w:t>工资福利支出</w:t>
      </w:r>
      <w:r>
        <w:rPr>
          <w:rFonts w:ascii="Times New Roman" w:eastAsia="Times New Roman" w:hAnsi="Times New Roman"/>
          <w:spacing w:val="-11"/>
        </w:rPr>
        <w:t>”</w:t>
      </w:r>
      <w:r>
        <w:rPr>
          <w:spacing w:val="-11"/>
        </w:rPr>
        <w:t>和</w:t>
      </w:r>
      <w:r>
        <w:rPr>
          <w:rFonts w:ascii="Times New Roman" w:eastAsia="Times New Roman" w:hAnsi="Times New Roman"/>
          <w:spacing w:val="-11"/>
        </w:rPr>
        <w:t>“</w:t>
      </w:r>
      <w:r>
        <w:rPr>
          <w:spacing w:val="-11"/>
        </w:rPr>
        <w:t>对个人和家庭的补助</w:t>
      </w:r>
      <w:r>
        <w:rPr>
          <w:rFonts w:ascii="Times New Roman" w:eastAsia="Times New Roman" w:hAnsi="Times New Roman"/>
          <w:spacing w:val="-11"/>
        </w:rPr>
        <w:t>”</w:t>
      </w:r>
      <w:r>
        <w:rPr>
          <w:spacing w:val="-11"/>
        </w:rPr>
        <w:t>。</w:t>
      </w:r>
    </w:p>
    <w:p w:rsidR="00B32044" w:rsidRDefault="002625D2">
      <w:pPr>
        <w:pStyle w:val="a4"/>
        <w:spacing w:line="285" w:lineRule="auto"/>
        <w:ind w:left="106" w:right="273" w:firstLine="640"/>
      </w:pPr>
      <w:r>
        <w:rPr>
          <w:rFonts w:hint="eastAsia"/>
          <w:spacing w:val="-11"/>
        </w:rPr>
        <w:t>十</w:t>
      </w:r>
      <w:r>
        <w:rPr>
          <w:spacing w:val="-11"/>
        </w:rPr>
        <w:t>、日常公用支出：是指单位用一般公共预算财政拨款安排的除人员经费以外的基本支出。</w:t>
      </w:r>
    </w:p>
    <w:p w:rsidR="00B32044" w:rsidRDefault="002625D2">
      <w:pPr>
        <w:pStyle w:val="a4"/>
        <w:spacing w:line="285" w:lineRule="auto"/>
        <w:ind w:left="106" w:right="271" w:firstLine="640"/>
        <w:jc w:val="both"/>
      </w:pPr>
      <w:r>
        <w:rPr>
          <w:spacing w:val="-5"/>
        </w:rPr>
        <w:t>十</w:t>
      </w:r>
      <w:r>
        <w:rPr>
          <w:rFonts w:hint="eastAsia"/>
          <w:spacing w:val="-5"/>
        </w:rPr>
        <w:t>一</w:t>
      </w:r>
      <w:r>
        <w:rPr>
          <w:spacing w:val="-5"/>
        </w:rPr>
        <w:t>、</w:t>
      </w:r>
      <w:r>
        <w:rPr>
          <w:rFonts w:ascii="Times New Roman" w:eastAsia="Times New Roman" w:hAnsi="Times New Roman"/>
        </w:rPr>
        <w:t>“</w:t>
      </w:r>
      <w:r>
        <w:t>三公</w:t>
      </w:r>
      <w:r>
        <w:rPr>
          <w:rFonts w:ascii="Times New Roman" w:eastAsia="Times New Roman" w:hAnsi="Times New Roman"/>
        </w:rPr>
        <w:t>”</w:t>
      </w:r>
      <w:r>
        <w:rPr>
          <w:spacing w:val="-4"/>
        </w:rPr>
        <w:t>经费：纳入财政预决算管理的</w:t>
      </w:r>
      <w:r>
        <w:rPr>
          <w:rFonts w:ascii="Times New Roman" w:eastAsia="Times New Roman" w:hAnsi="Times New Roman"/>
        </w:rPr>
        <w:t>“</w:t>
      </w:r>
      <w:r>
        <w:t>三公</w:t>
      </w:r>
      <w:r>
        <w:rPr>
          <w:rFonts w:ascii="Times New Roman" w:eastAsia="Times New Roman" w:hAnsi="Times New Roman"/>
        </w:rPr>
        <w:t>”</w:t>
      </w:r>
      <w:r>
        <w:rPr>
          <w:spacing w:val="-4"/>
        </w:rPr>
        <w:t>经费，是</w:t>
      </w:r>
      <w:r>
        <w:rPr>
          <w:spacing w:val="-7"/>
          <w:w w:val="95"/>
        </w:rPr>
        <w:t>指部门用财政拨款安排的因公出国</w:t>
      </w:r>
      <w:r>
        <w:rPr>
          <w:w w:val="95"/>
        </w:rPr>
        <w:t>（境</w:t>
      </w:r>
      <w:r>
        <w:rPr>
          <w:spacing w:val="-36"/>
          <w:w w:val="95"/>
        </w:rPr>
        <w:t>）</w:t>
      </w:r>
      <w:r>
        <w:rPr>
          <w:spacing w:val="-7"/>
          <w:w w:val="95"/>
        </w:rPr>
        <w:t>费、公务用车购置及运</w:t>
      </w:r>
      <w:r>
        <w:rPr>
          <w:spacing w:val="-7"/>
          <w:w w:val="95"/>
        </w:rPr>
        <w:t xml:space="preserve">  </w:t>
      </w:r>
      <w:r>
        <w:rPr>
          <w:spacing w:val="-12"/>
          <w:w w:val="95"/>
        </w:rPr>
        <w:t>行费和公务接待费。其中，因公出国</w:t>
      </w:r>
      <w:r>
        <w:rPr>
          <w:w w:val="95"/>
        </w:rPr>
        <w:t>（境</w:t>
      </w:r>
      <w:r>
        <w:rPr>
          <w:spacing w:val="-27"/>
          <w:w w:val="95"/>
        </w:rPr>
        <w:t>）</w:t>
      </w:r>
      <w:proofErr w:type="gramStart"/>
      <w:r>
        <w:rPr>
          <w:w w:val="95"/>
        </w:rPr>
        <w:t>费反映</w:t>
      </w:r>
      <w:proofErr w:type="gramEnd"/>
      <w:r>
        <w:rPr>
          <w:w w:val="95"/>
        </w:rPr>
        <w:t>单位公务出国</w:t>
      </w:r>
    </w:p>
    <w:p w:rsidR="00B32044" w:rsidRDefault="002625D2">
      <w:pPr>
        <w:pStyle w:val="a4"/>
        <w:spacing w:line="285" w:lineRule="auto"/>
        <w:ind w:left="106" w:right="114"/>
        <w:jc w:val="both"/>
      </w:pPr>
      <w:r>
        <w:lastRenderedPageBreak/>
        <w:t>（境</w:t>
      </w:r>
      <w:r>
        <w:rPr>
          <w:spacing w:val="-19"/>
        </w:rPr>
        <w:t>）</w:t>
      </w:r>
      <w:r>
        <w:rPr>
          <w:spacing w:val="-9"/>
        </w:rPr>
        <w:t>的住宿费、旅费、伙食补助费、杂费、培训费等支出；公</w:t>
      </w:r>
      <w:r>
        <w:rPr>
          <w:spacing w:val="6"/>
        </w:rPr>
        <w:t>务用车购置及运行</w:t>
      </w:r>
      <w:proofErr w:type="gramStart"/>
      <w:r>
        <w:rPr>
          <w:spacing w:val="6"/>
        </w:rPr>
        <w:t>费反映</w:t>
      </w:r>
      <w:proofErr w:type="gramEnd"/>
      <w:r>
        <w:rPr>
          <w:spacing w:val="6"/>
        </w:rPr>
        <w:t>单位公务用车购置费及租用费、燃料</w:t>
      </w:r>
      <w:r>
        <w:rPr>
          <w:spacing w:val="-10"/>
        </w:rPr>
        <w:t>费、维修费、过路过桥费、保险费、安全奖励费用等支出；公务</w:t>
      </w:r>
      <w:r>
        <w:rPr>
          <w:spacing w:val="-17"/>
          <w:w w:val="95"/>
        </w:rPr>
        <w:t>接待</w:t>
      </w:r>
      <w:proofErr w:type="gramStart"/>
      <w:r>
        <w:rPr>
          <w:spacing w:val="-17"/>
          <w:w w:val="95"/>
        </w:rPr>
        <w:t>费反映</w:t>
      </w:r>
      <w:proofErr w:type="gramEnd"/>
      <w:r>
        <w:rPr>
          <w:spacing w:val="-17"/>
          <w:w w:val="95"/>
        </w:rPr>
        <w:t>单位按规定开支的各类公务接待</w:t>
      </w:r>
      <w:r>
        <w:rPr>
          <w:w w:val="95"/>
        </w:rPr>
        <w:t>（含外宾接待</w:t>
      </w:r>
      <w:r>
        <w:rPr>
          <w:spacing w:val="-137"/>
          <w:w w:val="95"/>
        </w:rPr>
        <w:t>）</w:t>
      </w:r>
      <w:r>
        <w:rPr>
          <w:w w:val="95"/>
        </w:rPr>
        <w:t>支出。</w:t>
      </w:r>
    </w:p>
    <w:p w:rsidR="00B32044" w:rsidRDefault="002625D2">
      <w:pPr>
        <w:pStyle w:val="a4"/>
        <w:spacing w:before="28" w:line="285" w:lineRule="auto"/>
        <w:ind w:left="106" w:right="114" w:firstLine="640"/>
      </w:pPr>
      <w:r>
        <w:rPr>
          <w:spacing w:val="-11"/>
        </w:rPr>
        <w:t>十</w:t>
      </w:r>
      <w:r>
        <w:rPr>
          <w:rFonts w:hint="eastAsia"/>
          <w:spacing w:val="-11"/>
        </w:rPr>
        <w:t>二</w:t>
      </w:r>
      <w:r>
        <w:rPr>
          <w:spacing w:val="-11"/>
        </w:rPr>
        <w:t>、机关运行经费：是指为保障行政单位</w:t>
      </w:r>
      <w:r>
        <w:t>（包括实行公务员管理的事业单位</w:t>
      </w:r>
      <w:r>
        <w:rPr>
          <w:spacing w:val="-58"/>
        </w:rPr>
        <w:t>）</w:t>
      </w:r>
      <w:r>
        <w:rPr>
          <w:spacing w:val="-4"/>
        </w:rPr>
        <w:t>运行用于购买货物和服务的各项资金，包括</w:t>
      </w:r>
      <w:r>
        <w:rPr>
          <w:spacing w:val="-19"/>
        </w:rPr>
        <w:t>办公及印刷费、邮电费、差旅费、会议费、福利费、日常维修费、</w:t>
      </w:r>
      <w:r>
        <w:rPr>
          <w:spacing w:val="-17"/>
          <w:w w:val="95"/>
        </w:rPr>
        <w:t>专用材料及一般设备购置费、办公用房水电费、办公用房取暖费、</w:t>
      </w:r>
      <w:r>
        <w:rPr>
          <w:spacing w:val="-17"/>
          <w:w w:val="95"/>
        </w:rPr>
        <w:t xml:space="preserve">  </w:t>
      </w:r>
      <w:r>
        <w:rPr>
          <w:spacing w:val="-17"/>
        </w:rPr>
        <w:t>办公用房物业管理费、公务用车运行维护费以及其他费用。</w:t>
      </w:r>
    </w:p>
    <w:sectPr w:rsidR="00B32044">
      <w:footerReference w:type="even" r:id="rId13"/>
      <w:pgSz w:w="11910" w:h="16840"/>
      <w:pgMar w:top="1420" w:right="1200" w:bottom="1140" w:left="1480" w:header="0" w:footer="959"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D2" w:rsidRDefault="002625D2">
      <w:r>
        <w:separator/>
      </w:r>
    </w:p>
  </w:endnote>
  <w:endnote w:type="continuationSeparator" w:id="0">
    <w:p w:rsidR="002625D2" w:rsidRDefault="0026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4" w:rsidRDefault="002625D2">
    <w:pPr>
      <w:spacing w:line="321" w:lineRule="exact"/>
      <w:ind w:left="20"/>
      <w:rPr>
        <w:sz w:val="28"/>
      </w:rPr>
    </w:pPr>
    <w:r>
      <w:rPr>
        <w:sz w:val="28"/>
      </w:rPr>
      <w:t xml:space="preserve">- </w:t>
    </w:r>
    <w:r>
      <w:fldChar w:fldCharType="begin"/>
    </w:r>
    <w:r>
      <w:rPr>
        <w:sz w:val="28"/>
      </w:rPr>
      <w:instrText xml:space="preserve"> PAGE </w:instrText>
    </w:r>
    <w:r>
      <w:fldChar w:fldCharType="separate"/>
    </w:r>
    <w:r w:rsidR="00AB2094">
      <w:rPr>
        <w:noProof/>
        <w:sz w:val="28"/>
      </w:rPr>
      <w:t>22</w:t>
    </w:r>
    <w:r>
      <w:fldChar w:fldCharType="end"/>
    </w:r>
    <w:r>
      <w:rPr>
        <w:sz w:val="28"/>
      </w:rPr>
      <w:t xml:space="preserve"> -</w:t>
    </w:r>
  </w:p>
  <w:p w:rsidR="00B32044" w:rsidRDefault="00B32044">
    <w:pPr>
      <w:pStyle w:val="a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4" w:rsidRDefault="002625D2">
    <w:pPr>
      <w:pStyle w:val="a4"/>
      <w:spacing w:line="14" w:lineRule="auto"/>
      <w:rPr>
        <w:sz w:val="20"/>
      </w:rPr>
    </w:pPr>
    <w:r>
      <w:pict>
        <v:shapetype id="_x0000_t202" coordsize="21600,21600" o:spt="202" path="m,l,21600r21600,l21600,xe">
          <v:stroke joinstyle="miter"/>
          <v:path gradientshapeok="t" o:connecttype="rect"/>
        </v:shapetype>
        <v:shape id="_x0000_s3075" type="#_x0000_t202" style="position:absolute;margin-left:733.85pt;margin-top:536.3pt;width:37pt;height:16.05pt;z-index:-255734784;mso-position-horizontal-relative:page;mso-position-vertical-relative:page;mso-width-relative:page;mso-height-relative:page" filled="f" stroked="f">
          <v:textbox inset="0,0,0,0">
            <w:txbxContent>
              <w:p w:rsidR="00B32044" w:rsidRDefault="002625D2">
                <w:pPr>
                  <w:spacing w:line="321" w:lineRule="exact"/>
                  <w:ind w:left="20"/>
                  <w:rPr>
                    <w:sz w:val="28"/>
                  </w:rPr>
                </w:pPr>
                <w:r>
                  <w:rPr>
                    <w:sz w:val="28"/>
                  </w:rPr>
                  <w:t xml:space="preserve">- </w:t>
                </w:r>
                <w:r>
                  <w:fldChar w:fldCharType="begin"/>
                </w:r>
                <w:r>
                  <w:rPr>
                    <w:sz w:val="28"/>
                  </w:rPr>
                  <w:instrText xml:space="preserve"> PAGE </w:instrText>
                </w:r>
                <w:r>
                  <w:fldChar w:fldCharType="separate"/>
                </w:r>
                <w:r w:rsidR="00AB2094">
                  <w:rPr>
                    <w:noProof/>
                    <w:sz w:val="28"/>
                  </w:rPr>
                  <w:t>21</w:t>
                </w:r>
                <w:r>
                  <w:fldChar w:fldCharType="end"/>
                </w:r>
                <w:r>
                  <w:rPr>
                    <w:sz w:val="28"/>
                  </w:rPr>
                  <w:t xml:space="preserv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4" w:rsidRDefault="002625D2">
    <w:pPr>
      <w:pStyle w:val="a4"/>
      <w:spacing w:line="14" w:lineRule="auto"/>
      <w:rPr>
        <w:sz w:val="20"/>
      </w:rPr>
    </w:pPr>
    <w:r>
      <w:pict>
        <v:shapetype id="_x0000_t202" coordsize="21600,21600" o:spt="202" path="m,l,21600r21600,l21600,xe">
          <v:stroke joinstyle="miter"/>
          <v:path gradientshapeok="t" o:connecttype="rect"/>
        </v:shapetype>
        <v:shape id="_x0000_s3077" type="#_x0000_t202" style="position:absolute;margin-left:71pt;margin-top:536.3pt;width:44.1pt;height:16.05pt;z-index:-255733760;mso-position-horizontal-relative:page;mso-position-vertical-relative:page;mso-width-relative:page;mso-height-relative:page" filled="f" stroked="f">
          <v:textbox inset="0,0,0,0">
            <w:txbxContent>
              <w:p w:rsidR="00B32044" w:rsidRDefault="002625D2">
                <w:pPr>
                  <w:spacing w:line="321" w:lineRule="exact"/>
                  <w:ind w:left="20"/>
                  <w:rPr>
                    <w:sz w:val="28"/>
                  </w:rPr>
                </w:pPr>
                <w:r>
                  <w:rPr>
                    <w:sz w:val="28"/>
                  </w:rPr>
                  <w:t xml:space="preserve">- </w:t>
                </w:r>
                <w:r>
                  <w:fldChar w:fldCharType="begin"/>
                </w:r>
                <w:r>
                  <w:rPr>
                    <w:sz w:val="28"/>
                  </w:rPr>
                  <w:instrText xml:space="preserve"> PAGE </w:instrText>
                </w:r>
                <w:r>
                  <w:fldChar w:fldCharType="separate"/>
                </w:r>
                <w:r w:rsidR="00AB2094">
                  <w:rPr>
                    <w:noProof/>
                    <w:sz w:val="28"/>
                  </w:rPr>
                  <w:t>28</w:t>
                </w:r>
                <w:r>
                  <w:fldChar w:fldCharType="end"/>
                </w:r>
                <w:r>
                  <w:rPr>
                    <w:sz w:val="28"/>
                  </w:rPr>
                  <w:t xml:space="preserv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4" w:rsidRDefault="002625D2">
    <w:pPr>
      <w:pStyle w:val="a4"/>
      <w:spacing w:line="14" w:lineRule="auto"/>
      <w:rPr>
        <w:sz w:val="20"/>
      </w:rPr>
    </w:pPr>
    <w:r>
      <w:pict>
        <v:shapetype id="_x0000_t202" coordsize="21600,21600" o:spt="202" path="m,l,21600r21600,l21600,xe">
          <v:stroke joinstyle="miter"/>
          <v:path gradientshapeok="t" o:connecttype="rect"/>
        </v:shapetype>
        <v:shape id="_x0000_s3076" type="#_x0000_t202" style="position:absolute;margin-left:726.9pt;margin-top:536.3pt;width:43.95pt;height:16.05pt;z-index:-255732736;mso-position-horizontal-relative:page;mso-position-vertical-relative:page;mso-width-relative:page;mso-height-relative:page" filled="f" stroked="f">
          <v:textbox inset="0,0,0,0">
            <w:txbxContent>
              <w:p w:rsidR="00B32044" w:rsidRDefault="002625D2">
                <w:pPr>
                  <w:spacing w:line="321" w:lineRule="exact"/>
                  <w:ind w:left="20"/>
                  <w:rPr>
                    <w:sz w:val="28"/>
                  </w:rPr>
                </w:pPr>
                <w:r>
                  <w:rPr>
                    <w:sz w:val="28"/>
                  </w:rPr>
                  <w:t xml:space="preserve">- </w:t>
                </w:r>
                <w:r>
                  <w:fldChar w:fldCharType="begin"/>
                </w:r>
                <w:r>
                  <w:rPr>
                    <w:sz w:val="28"/>
                  </w:rPr>
                  <w:instrText xml:space="preserve"> PAGE </w:instrText>
                </w:r>
                <w:r>
                  <w:fldChar w:fldCharType="separate"/>
                </w:r>
                <w:r w:rsidR="00AB2094">
                  <w:rPr>
                    <w:noProof/>
                    <w:sz w:val="28"/>
                  </w:rPr>
                  <w:t>37</w:t>
                </w:r>
                <w:r>
                  <w:fldChar w:fldCharType="end"/>
                </w:r>
                <w:r>
                  <w:rPr>
                    <w:sz w:val="28"/>
                  </w:rPr>
                  <w:t xml:space="preserve"> -</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44" w:rsidRDefault="002625D2">
    <w:pPr>
      <w:pStyle w:val="a4"/>
      <w:spacing w:line="14" w:lineRule="auto"/>
      <w:rPr>
        <w:sz w:val="20"/>
      </w:rPr>
    </w:pPr>
    <w:r>
      <w:pict>
        <v:shapetype id="_x0000_t202" coordsize="21600,21600" o:spt="202" path="m,l,21600r21600,l21600,xe">
          <v:stroke joinstyle="miter"/>
          <v:path gradientshapeok="t" o:connecttype="rect"/>
        </v:shapetype>
        <v:shape id="_x0000_s3082" type="#_x0000_t202" style="position:absolute;margin-left:78.3pt;margin-top:782.9pt;width:44.1pt;height:16.05pt;z-index:-255727616;mso-position-horizontal-relative:page;mso-position-vertical-relative:page;mso-width-relative:page;mso-height-relative:page" filled="f" stroked="f">
          <v:textbox inset="0,0,0,0">
            <w:txbxContent>
              <w:p w:rsidR="00B32044" w:rsidRDefault="002625D2">
                <w:pPr>
                  <w:spacing w:line="321" w:lineRule="exact"/>
                  <w:ind w:left="20"/>
                  <w:rPr>
                    <w:sz w:val="28"/>
                  </w:rPr>
                </w:pPr>
                <w:r>
                  <w:rPr>
                    <w:sz w:val="28"/>
                  </w:rPr>
                  <w:t xml:space="preserve">- </w:t>
                </w:r>
                <w:r>
                  <w:fldChar w:fldCharType="begin"/>
                </w:r>
                <w:r>
                  <w:rPr>
                    <w:sz w:val="28"/>
                  </w:rPr>
                  <w:instrText xml:space="preserve"> PAGE </w:instrText>
                </w:r>
                <w:r>
                  <w:fldChar w:fldCharType="separate"/>
                </w:r>
                <w:r w:rsidR="00AB2094">
                  <w:rPr>
                    <w:noProof/>
                    <w:sz w:val="28"/>
                  </w:rPr>
                  <w:t>36</w:t>
                </w:r>
                <w:r>
                  <w:fldChar w:fldCharType="end"/>
                </w:r>
                <w:r>
                  <w:rPr>
                    <w:sz w:val="2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D2" w:rsidRDefault="002625D2">
      <w:r>
        <w:separator/>
      </w:r>
    </w:p>
  </w:footnote>
  <w:footnote w:type="continuationSeparator" w:id="0">
    <w:p w:rsidR="002625D2" w:rsidRDefault="00262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ADF406"/>
    <w:multiLevelType w:val="singleLevel"/>
    <w:tmpl w:val="FFADF40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noPunctuationKerning/>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5953AF"/>
    <w:rsid w:val="AD2C9F4D"/>
    <w:rsid w:val="B577D976"/>
    <w:rsid w:val="DB4F1742"/>
    <w:rsid w:val="E6FE545C"/>
    <w:rsid w:val="EF9F08F5"/>
    <w:rsid w:val="F3DF8D1B"/>
    <w:rsid w:val="F75FB797"/>
    <w:rsid w:val="F7EF684D"/>
    <w:rsid w:val="FBBD6402"/>
    <w:rsid w:val="FBECDCE7"/>
    <w:rsid w:val="FFFB42DA"/>
    <w:rsid w:val="000A565C"/>
    <w:rsid w:val="002625D2"/>
    <w:rsid w:val="00291D4D"/>
    <w:rsid w:val="003463E4"/>
    <w:rsid w:val="0040475D"/>
    <w:rsid w:val="00475B5D"/>
    <w:rsid w:val="005953AF"/>
    <w:rsid w:val="00622526"/>
    <w:rsid w:val="0067189B"/>
    <w:rsid w:val="00886401"/>
    <w:rsid w:val="00AB2094"/>
    <w:rsid w:val="00B32044"/>
    <w:rsid w:val="1BB3A8D4"/>
    <w:rsid w:val="2F9DF404"/>
    <w:rsid w:val="37CD848B"/>
    <w:rsid w:val="3AEA2BD3"/>
    <w:rsid w:val="3BFF7EFC"/>
    <w:rsid w:val="7A7534E2"/>
    <w:rsid w:val="7EDB4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106"/>
      <w:outlineLvl w:val="0"/>
    </w:pPr>
    <w:rPr>
      <w:rFonts w:ascii="Arial Unicode MS" w:eastAsia="Arial Unicode MS" w:hAnsi="Arial Unicode MS" w:cs="Arial Unicode MS"/>
      <w:sz w:val="44"/>
      <w:szCs w:val="44"/>
    </w:rPr>
  </w:style>
  <w:style w:type="paragraph" w:styleId="2">
    <w:name w:val="heading 2"/>
    <w:basedOn w:val="a"/>
    <w:next w:val="a"/>
    <w:uiPriority w:val="1"/>
    <w:qFormat/>
    <w:pPr>
      <w:ind w:left="219"/>
      <w:outlineLvl w:val="1"/>
    </w:pPr>
    <w:rPr>
      <w:rFonts w:ascii="仿宋_GB2312" w:eastAsia="仿宋_GB2312" w:hAnsi="仿宋_GB2312" w:cs="仿宋_GB2312"/>
      <w:b/>
      <w:bCs/>
      <w:sz w:val="36"/>
      <w:szCs w:val="36"/>
    </w:rPr>
  </w:style>
  <w:style w:type="paragraph" w:styleId="3">
    <w:name w:val="heading 3"/>
    <w:basedOn w:val="a"/>
    <w:next w:val="a"/>
    <w:uiPriority w:val="1"/>
    <w:qFormat/>
    <w:pPr>
      <w:spacing w:before="3"/>
      <w:ind w:left="747"/>
      <w:outlineLvl w:val="2"/>
    </w:pPr>
    <w:rPr>
      <w:rFonts w:ascii="华文仿宋" w:eastAsia="华文仿宋" w:hAnsi="华文仿宋" w:cs="华文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sz w:val="18"/>
      <w:szCs w:val="18"/>
    </w:rPr>
  </w:style>
  <w:style w:type="paragraph" w:styleId="a4">
    <w:name w:val="Body Text"/>
    <w:basedOn w:val="a"/>
    <w:uiPriority w:val="1"/>
    <w:qFormat/>
    <w:rPr>
      <w:rFonts w:ascii="华文仿宋" w:eastAsia="华文仿宋" w:hAnsi="华文仿宋" w:cs="华文仿宋"/>
      <w:sz w:val="32"/>
      <w:szCs w:val="32"/>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spacing w:before="2"/>
      <w:ind w:left="106" w:right="273" w:firstLine="640"/>
      <w:jc w:val="both"/>
    </w:pPr>
    <w:rPr>
      <w:rFonts w:ascii="仿宋_GB2312" w:eastAsia="仿宋_GB2312" w:hAnsi="仿宋_GB2312" w:cs="仿宋_GB2312"/>
    </w:rPr>
  </w:style>
  <w:style w:type="paragraph" w:customStyle="1" w:styleId="TableParagraph">
    <w:name w:val="Table Paragraph"/>
    <w:basedOn w:val="a"/>
    <w:uiPriority w:val="1"/>
    <w:qFormat/>
  </w:style>
  <w:style w:type="character" w:customStyle="1" w:styleId="font41">
    <w:name w:val="font41"/>
    <w:basedOn w:val="a0"/>
    <w:qFormat/>
    <w:rPr>
      <w:rFonts w:ascii="宋体" w:eastAsia="宋体" w:hAnsi="宋体" w:cs="宋体" w:hint="eastAsia"/>
      <w:b/>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paragraph" w:customStyle="1" w:styleId="Char0">
    <w:name w:val="Char"/>
    <w:basedOn w:val="a"/>
    <w:qFormat/>
    <w:pPr>
      <w:autoSpaceDE/>
      <w:autoSpaceDN/>
      <w:spacing w:line="360" w:lineRule="auto"/>
      <w:ind w:firstLineChars="200" w:firstLine="200"/>
      <w:jc w:val="both"/>
    </w:pPr>
    <w:rPr>
      <w:kern w:val="2"/>
      <w:sz w:val="24"/>
      <w:szCs w:val="20"/>
      <w:lang w:val="en-US" w:bidi="ar-SA"/>
    </w:rPr>
  </w:style>
  <w:style w:type="character" w:customStyle="1" w:styleId="Char">
    <w:name w:val="文档结构图 Char"/>
    <w:basedOn w:val="a0"/>
    <w:link w:val="a3"/>
    <w:qFormat/>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9"/>
    <customShpInfo spid="_x0000_s4100"/>
    <customShpInfo spid="_x0000_s4101"/>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10950</Words>
  <Characters>11498</Characters>
  <Application>Microsoft Office Word</Application>
  <DocSecurity>0</DocSecurity>
  <Lines>1149</Lines>
  <Paragraphs>935</Paragraphs>
  <ScaleCrop>false</ScaleCrop>
  <Company>Microsoft</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宁夏回族自治区******2019年部门预算</dc:title>
  <dc:creator>张沛(012327-012327)</dc:creator>
  <cp:lastModifiedBy>张姣</cp:lastModifiedBy>
  <cp:revision>3</cp:revision>
  <cp:lastPrinted>2022-03-25T18:31:00Z</cp:lastPrinted>
  <dcterms:created xsi:type="dcterms:W3CDTF">2022-03-12T09:08:00Z</dcterms:created>
  <dcterms:modified xsi:type="dcterms:W3CDTF">2022-03-31T02:21:00Z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2022-01-30T00:00:00Z</vt:filetime>
  </property>
  <property fmtid="{D5CDD505-2E9C-101B-9397-08002B2CF9AE}" pid="3" name="Creator">
    <vt:lpwstr>WPS Office</vt:lpwstr>
  </property>
  <property fmtid="{D5CDD505-2E9C-101B-9397-08002B2CF9AE}" pid="4" name="LastSaved">
    <vt:filetime>2022-03-09T00:00:00Z</vt:filetime>
  </property>
  <property fmtid="{D5CDD505-2E9C-101B-9397-08002B2CF9AE}" pid="5" name="KSOProductBuildVer">
    <vt:lpwstr>2052-11.8.2.10125</vt:lpwstr>
  </property>
</Properties>
</file>