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0"/>
        <w:rPr>
          <w:rFonts w:ascii="Times New Roman"/>
          <w:sz w:val="29"/>
        </w:rPr>
      </w:pPr>
    </w:p>
    <w:p>
      <w:pPr>
        <w:pStyle w:val="3"/>
        <w:spacing w:line="735" w:lineRule="exact"/>
        <w:ind w:left="1478" w:right="1758"/>
        <w:jc w:val="center"/>
        <w:rPr>
          <w:rFonts w:hint="eastAsia"/>
        </w:rPr>
      </w:pPr>
      <w:r>
        <w:rPr>
          <w:rFonts w:hint="eastAsia" w:eastAsia="宋体"/>
        </w:rPr>
        <w:t>宁东基地管委会</w:t>
      </w:r>
      <w:r>
        <w:t>本级</w:t>
      </w:r>
      <w:r>
        <w:rPr>
          <w:rFonts w:ascii="Times New Roman" w:eastAsia="Times New Roman"/>
        </w:rPr>
        <w:t>202</w:t>
      </w:r>
      <w:r>
        <w:rPr>
          <w:rFonts w:hint="eastAsia" w:ascii="Times New Roman" w:eastAsia="SimSun"/>
          <w:lang w:val="en-US" w:eastAsia="zh-CN"/>
        </w:rPr>
        <w:t>5</w:t>
      </w:r>
      <w:r>
        <w:rPr>
          <w:rFonts w:hint="eastAsia"/>
        </w:rPr>
        <w:t>年</w:t>
      </w:r>
    </w:p>
    <w:p>
      <w:pPr>
        <w:pStyle w:val="3"/>
        <w:spacing w:line="735" w:lineRule="exact"/>
        <w:ind w:left="1478" w:right="1758"/>
        <w:jc w:val="center"/>
      </w:pPr>
      <w:r>
        <w:rPr>
          <w:rFonts w:hint="eastAsia"/>
        </w:rPr>
        <w:t>部门预算</w:t>
      </w:r>
    </w:p>
    <w:p>
      <w:pPr>
        <w:jc w:val="center"/>
        <w:rPr>
          <w:rFonts w:ascii="Arial Unicode MS" w:eastAsia="Arial Unicode MS"/>
          <w:sz w:val="44"/>
        </w:rPr>
        <w:sectPr>
          <w:type w:val="continuous"/>
          <w:pgSz w:w="11910" w:h="16840"/>
          <w:pgMar w:top="1580" w:right="1200" w:bottom="280" w:left="1480" w:header="720" w:footer="720" w:gutter="0"/>
          <w:cols w:space="720" w:num="1"/>
        </w:sectPr>
      </w:pPr>
    </w:p>
    <w:p>
      <w:pPr>
        <w:spacing w:line="717" w:lineRule="exact"/>
        <w:ind w:left="1478" w:right="1647"/>
        <w:jc w:val="center"/>
        <w:rPr>
          <w:rFonts w:ascii="Arial Unicode MS" w:eastAsia="Arial Unicode MS"/>
          <w:sz w:val="44"/>
        </w:rPr>
      </w:pPr>
      <w:r>
        <w:rPr>
          <w:rFonts w:hint="eastAsia" w:ascii="Arial Unicode MS" w:eastAsia="Arial Unicode MS"/>
          <w:sz w:val="44"/>
        </w:rPr>
        <w:t>目录</w:t>
      </w:r>
    </w:p>
    <w:p>
      <w:pPr>
        <w:pStyle w:val="7"/>
        <w:rPr>
          <w:rFonts w:ascii="Arial Unicode MS"/>
          <w:sz w:val="20"/>
        </w:rPr>
      </w:pPr>
    </w:p>
    <w:p>
      <w:pPr>
        <w:pStyle w:val="7"/>
        <w:spacing w:before="8"/>
        <w:rPr>
          <w:rFonts w:ascii="Arial Unicode MS"/>
          <w:sz w:val="24"/>
        </w:rPr>
      </w:pPr>
    </w:p>
    <w:p>
      <w:pPr>
        <w:pStyle w:val="7"/>
        <w:tabs>
          <w:tab w:val="left" w:pos="2347"/>
        </w:tabs>
        <w:spacing w:before="54"/>
        <w:ind w:left="747"/>
        <w:rPr>
          <w:rFonts w:hint="eastAsia" w:ascii="黑体" w:eastAsia="黑体"/>
        </w:rPr>
      </w:pPr>
      <w:r>
        <w:rPr>
          <w:rFonts w:hint="eastAsia" w:ascii="黑体" w:eastAsia="黑体"/>
        </w:rPr>
        <w:t>第一部分</w:t>
      </w:r>
      <w:r>
        <w:rPr>
          <w:rFonts w:hint="eastAsia" w:ascii="黑体" w:eastAsia="黑体"/>
        </w:rPr>
        <w:tab/>
      </w:r>
      <w:r>
        <w:rPr>
          <w:rFonts w:hint="eastAsia" w:ascii="黑体" w:eastAsia="黑体"/>
        </w:rPr>
        <w:t>单位概况</w:t>
      </w:r>
    </w:p>
    <w:p>
      <w:pPr>
        <w:pStyle w:val="7"/>
        <w:spacing w:before="214"/>
        <w:ind w:left="747"/>
        <w:rPr>
          <w:rFonts w:ascii="仿宋_GB2312" w:eastAsia="仿宋_GB2312"/>
        </w:rPr>
      </w:pPr>
      <w:r>
        <w:rPr>
          <w:rFonts w:hint="eastAsia" w:ascii="仿宋_GB2312" w:eastAsia="仿宋_GB2312"/>
        </w:rPr>
        <w:t>一、主要职能</w:t>
      </w:r>
    </w:p>
    <w:p>
      <w:pPr>
        <w:pStyle w:val="7"/>
        <w:spacing w:before="214"/>
        <w:ind w:left="747"/>
        <w:rPr>
          <w:rFonts w:ascii="仿宋_GB2312" w:eastAsia="仿宋_GB2312"/>
        </w:rPr>
      </w:pPr>
      <w:r>
        <w:rPr>
          <w:rFonts w:hint="eastAsia" w:ascii="仿宋_GB2312" w:eastAsia="仿宋_GB2312"/>
        </w:rPr>
        <w:t>二、部门预算单位构成</w:t>
      </w:r>
    </w:p>
    <w:p>
      <w:pPr>
        <w:pStyle w:val="7"/>
        <w:spacing w:before="12"/>
        <w:rPr>
          <w:rFonts w:ascii="仿宋_GB2312"/>
          <w:sz w:val="28"/>
        </w:rPr>
      </w:pPr>
    </w:p>
    <w:p>
      <w:pPr>
        <w:pStyle w:val="7"/>
        <w:tabs>
          <w:tab w:val="left" w:pos="2347"/>
        </w:tabs>
        <w:ind w:left="747"/>
        <w:rPr>
          <w:rFonts w:hint="eastAsia" w:ascii="黑体" w:eastAsia="黑体"/>
        </w:rPr>
      </w:pPr>
      <w:r>
        <w:rPr>
          <w:rFonts w:hint="eastAsia" w:ascii="黑体" w:eastAsia="黑体"/>
        </w:rPr>
        <w:t>第二部分</w:t>
      </w:r>
      <w:r>
        <w:rPr>
          <w:rFonts w:hint="eastAsia" w:ascii="黑体" w:eastAsia="黑体"/>
        </w:rPr>
        <w:tab/>
      </w:r>
      <w:r>
        <w:rPr>
          <w:rFonts w:hint="eastAsia" w:ascii="黑体" w:eastAsia="黑体"/>
        </w:rPr>
        <w:t>202</w:t>
      </w:r>
      <w:r>
        <w:rPr>
          <w:rFonts w:hint="eastAsia" w:ascii="黑体" w:eastAsia="黑体"/>
          <w:lang w:val="en-US" w:eastAsia="zh-CN"/>
        </w:rPr>
        <w:t>5</w:t>
      </w:r>
      <w:r>
        <w:rPr>
          <w:rFonts w:hint="eastAsia" w:ascii="黑体" w:eastAsia="黑体"/>
        </w:rPr>
        <w:t>年部门预算表</w:t>
      </w:r>
    </w:p>
    <w:p>
      <w:pPr>
        <w:pStyle w:val="7"/>
        <w:spacing w:before="214"/>
        <w:ind w:left="747"/>
        <w:rPr>
          <w:rFonts w:ascii="仿宋_GB2312" w:eastAsia="仿宋_GB2312"/>
        </w:rPr>
      </w:pPr>
      <w:r>
        <w:rPr>
          <w:rFonts w:hint="eastAsia" w:ascii="仿宋_GB2312" w:eastAsia="仿宋_GB2312"/>
        </w:rPr>
        <w:t>一、财政拨款收支预算总表</w:t>
      </w:r>
    </w:p>
    <w:p>
      <w:pPr>
        <w:pStyle w:val="7"/>
        <w:spacing w:before="214"/>
        <w:ind w:left="747"/>
        <w:rPr>
          <w:rFonts w:ascii="仿宋_GB2312" w:eastAsia="仿宋_GB2312"/>
        </w:rPr>
      </w:pPr>
      <w:r>
        <w:rPr>
          <w:rFonts w:hint="eastAsia" w:ascii="仿宋_GB2312" w:eastAsia="仿宋_GB2312"/>
        </w:rPr>
        <w:t>二、一般公共预算财政拨款支出预算表</w:t>
      </w:r>
    </w:p>
    <w:p>
      <w:pPr>
        <w:pStyle w:val="7"/>
        <w:spacing w:before="214"/>
        <w:ind w:left="747"/>
        <w:rPr>
          <w:rFonts w:ascii="仿宋_GB2312" w:eastAsia="仿宋_GB2312"/>
        </w:rPr>
      </w:pPr>
      <w:r>
        <w:rPr>
          <w:rFonts w:hint="eastAsia" w:ascii="仿宋_GB2312" w:eastAsia="仿宋_GB2312"/>
        </w:rPr>
        <w:t>三、一般公共预算财政拨款基本支出预算表</w:t>
      </w:r>
    </w:p>
    <w:p>
      <w:pPr>
        <w:pStyle w:val="7"/>
        <w:spacing w:before="214" w:line="364" w:lineRule="auto"/>
        <w:ind w:left="747" w:right="1118"/>
        <w:rPr>
          <w:rFonts w:ascii="仿宋_GB2312" w:hAnsi="仿宋_GB2312" w:eastAsia="仿宋_GB2312"/>
        </w:rPr>
      </w:pPr>
      <w:r>
        <w:rPr>
          <w:rFonts w:hint="eastAsia" w:ascii="仿宋_GB2312" w:hAnsi="仿宋_GB2312" w:eastAsia="仿宋_GB2312"/>
        </w:rPr>
        <w:t>四、一般公共预算财政拨款“三公”经费支出预算表五、政府性基金预算财政拨款支出预算表</w:t>
      </w:r>
    </w:p>
    <w:p>
      <w:pPr>
        <w:pStyle w:val="7"/>
        <w:spacing w:before="1" w:line="364" w:lineRule="auto"/>
        <w:ind w:left="747" w:right="5277"/>
        <w:rPr>
          <w:rFonts w:ascii="仿宋_GB2312" w:eastAsia="仿宋_GB2312"/>
        </w:rPr>
      </w:pPr>
      <w:r>
        <w:rPr>
          <w:rFonts w:hint="eastAsia" w:ascii="仿宋_GB2312" w:eastAsia="仿宋_GB2312"/>
          <w:spacing w:val="-2"/>
        </w:rPr>
        <w:t>六、部门收支预算总表</w:t>
      </w:r>
      <w:r>
        <w:rPr>
          <w:rFonts w:hint="eastAsia" w:ascii="仿宋_GB2312" w:eastAsia="仿宋_GB2312"/>
        </w:rPr>
        <w:t>七、部门收入预算表 八、部门支出预算表</w:t>
      </w:r>
    </w:p>
    <w:p>
      <w:pPr>
        <w:pStyle w:val="7"/>
        <w:tabs>
          <w:tab w:val="left" w:pos="2347"/>
        </w:tabs>
        <w:spacing w:before="159" w:line="456" w:lineRule="auto"/>
        <w:ind w:left="747" w:right="3276"/>
        <w:rPr>
          <w:rFonts w:hint="eastAsia" w:ascii="黑体" w:eastAsia="黑体"/>
          <w:spacing w:val="-13"/>
        </w:rPr>
      </w:pPr>
      <w:r>
        <w:rPr>
          <w:rFonts w:hint="eastAsia" w:ascii="黑体" w:eastAsia="黑体"/>
        </w:rPr>
        <w:t>第三部分</w:t>
      </w:r>
      <w:r>
        <w:rPr>
          <w:rFonts w:hint="eastAsia" w:ascii="黑体" w:eastAsia="黑体"/>
        </w:rPr>
        <w:tab/>
      </w:r>
      <w:r>
        <w:rPr>
          <w:rFonts w:hint="eastAsia" w:ascii="黑体" w:eastAsia="黑体"/>
        </w:rPr>
        <w:t>202</w:t>
      </w:r>
      <w:r>
        <w:rPr>
          <w:rFonts w:hint="eastAsia" w:ascii="黑体" w:eastAsia="黑体"/>
          <w:lang w:val="en-US" w:eastAsia="zh-CN"/>
        </w:rPr>
        <w:t>5</w:t>
      </w:r>
      <w:r>
        <w:rPr>
          <w:rFonts w:hint="eastAsia" w:ascii="黑体" w:eastAsia="黑体"/>
        </w:rPr>
        <w:t>年部门预算情况说</w:t>
      </w:r>
      <w:r>
        <w:rPr>
          <w:rFonts w:hint="eastAsia" w:ascii="黑体" w:eastAsia="黑体"/>
          <w:spacing w:val="-13"/>
        </w:rPr>
        <w:t>明</w:t>
      </w:r>
    </w:p>
    <w:p>
      <w:pPr>
        <w:pStyle w:val="7"/>
        <w:tabs>
          <w:tab w:val="left" w:pos="2347"/>
        </w:tabs>
        <w:spacing w:before="159" w:line="456" w:lineRule="auto"/>
        <w:ind w:left="747" w:right="3276"/>
        <w:rPr>
          <w:rFonts w:hint="eastAsia" w:ascii="黑体" w:eastAsia="黑体"/>
        </w:rPr>
      </w:pPr>
      <w:r>
        <w:rPr>
          <w:rFonts w:hint="eastAsia" w:ascii="黑体" w:eastAsia="黑体"/>
        </w:rPr>
        <w:t>第四部分</w:t>
      </w:r>
      <w:r>
        <w:rPr>
          <w:rFonts w:hint="eastAsia" w:ascii="黑体" w:eastAsia="黑体"/>
        </w:rPr>
        <w:tab/>
      </w:r>
      <w:r>
        <w:rPr>
          <w:rFonts w:hint="eastAsia" w:ascii="黑体" w:eastAsia="黑体"/>
        </w:rPr>
        <w:t>名词解释</w:t>
      </w:r>
    </w:p>
    <w:p>
      <w:pPr>
        <w:widowControl/>
        <w:jc w:val="center"/>
        <w:outlineLvl w:val="1"/>
        <w:rPr>
          <w:rFonts w:hint="eastAsia" w:ascii="仿宋_GB2312" w:eastAsia="仿宋_GB2312"/>
          <w:b/>
          <w:sz w:val="36"/>
          <w:szCs w:val="36"/>
        </w:rPr>
      </w:pPr>
    </w:p>
    <w:p>
      <w:pPr>
        <w:widowControl/>
        <w:jc w:val="center"/>
        <w:outlineLvl w:val="1"/>
        <w:rPr>
          <w:rFonts w:hint="eastAsia" w:ascii="仿宋_GB2312" w:eastAsia="仿宋_GB2312"/>
          <w:b/>
          <w:sz w:val="36"/>
          <w:szCs w:val="36"/>
        </w:rPr>
      </w:pPr>
    </w:p>
    <w:p>
      <w:pPr>
        <w:widowControl/>
        <w:jc w:val="center"/>
        <w:outlineLvl w:val="1"/>
        <w:rPr>
          <w:rFonts w:hint="eastAsia" w:ascii="仿宋_GB2312" w:eastAsia="仿宋_GB2312"/>
          <w:b/>
          <w:sz w:val="36"/>
          <w:szCs w:val="36"/>
        </w:rPr>
      </w:pPr>
    </w:p>
    <w:p>
      <w:pPr>
        <w:widowControl/>
        <w:jc w:val="center"/>
        <w:outlineLvl w:val="1"/>
        <w:rPr>
          <w:rFonts w:hint="eastAsia" w:ascii="仿宋_GB2312" w:eastAsia="仿宋_GB2312"/>
          <w:b/>
          <w:sz w:val="36"/>
          <w:szCs w:val="36"/>
        </w:rPr>
      </w:pPr>
    </w:p>
    <w:p>
      <w:pPr>
        <w:widowControl/>
        <w:jc w:val="center"/>
        <w:outlineLvl w:val="1"/>
        <w:rPr>
          <w:rFonts w:hint="eastAsia" w:ascii="仿宋_GB2312" w:eastAsia="仿宋_GB2312"/>
          <w:b/>
          <w:sz w:val="36"/>
          <w:szCs w:val="36"/>
        </w:rPr>
      </w:pPr>
    </w:p>
    <w:p>
      <w:pPr>
        <w:widowControl/>
        <w:jc w:val="center"/>
        <w:outlineLvl w:val="1"/>
        <w:rPr>
          <w:rFonts w:hint="eastAsia" w:ascii="仿宋_GB2312" w:eastAsia="仿宋_GB2312"/>
          <w:b/>
          <w:sz w:val="36"/>
          <w:szCs w:val="36"/>
        </w:rPr>
      </w:pPr>
    </w:p>
    <w:p>
      <w:pPr>
        <w:keepNext w:val="0"/>
        <w:keepLines w:val="0"/>
        <w:pageBreakBefore w:val="0"/>
        <w:widowControl/>
        <w:kinsoku/>
        <w:wordWrap/>
        <w:overflowPunct/>
        <w:topLinePunct w:val="0"/>
        <w:bidi w:val="0"/>
        <w:adjustRightInd/>
        <w:snapToGrid/>
        <w:spacing w:line="560" w:lineRule="exact"/>
        <w:jc w:val="center"/>
        <w:textAlignment w:val="auto"/>
        <w:outlineLvl w:val="1"/>
        <w:rPr>
          <w:rFonts w:hint="eastAsia" w:ascii="仿宋_GB2312" w:eastAsia="仿宋_GB2312"/>
          <w:b/>
          <w:sz w:val="36"/>
          <w:szCs w:val="36"/>
        </w:rPr>
      </w:pPr>
    </w:p>
    <w:p>
      <w:pPr>
        <w:keepNext w:val="0"/>
        <w:keepLines w:val="0"/>
        <w:pageBreakBefore w:val="0"/>
        <w:widowControl/>
        <w:kinsoku/>
        <w:wordWrap/>
        <w:overflowPunct/>
        <w:topLinePunct w:val="0"/>
        <w:bidi w:val="0"/>
        <w:adjustRightInd/>
        <w:snapToGrid/>
        <w:spacing w:line="560" w:lineRule="exact"/>
        <w:jc w:val="center"/>
        <w:textAlignment w:val="auto"/>
        <w:outlineLvl w:val="1"/>
        <w:rPr>
          <w:rFonts w:hint="eastAsia" w:ascii="仿宋_GB2312" w:eastAsia="仿宋_GB2312"/>
          <w:b/>
          <w:sz w:val="36"/>
          <w:szCs w:val="36"/>
        </w:rPr>
      </w:pPr>
      <w:r>
        <w:rPr>
          <w:rFonts w:hint="eastAsia" w:ascii="仿宋_GB2312" w:eastAsia="仿宋_GB2312"/>
          <w:b/>
          <w:sz w:val="36"/>
          <w:szCs w:val="36"/>
        </w:rPr>
        <w:t>宁东管委会（本级）202</w:t>
      </w:r>
      <w:r>
        <w:rPr>
          <w:rFonts w:hint="eastAsia" w:ascii="仿宋_GB2312" w:eastAsia="仿宋_GB2312"/>
          <w:b/>
          <w:sz w:val="36"/>
          <w:szCs w:val="36"/>
          <w:lang w:val="en-US" w:eastAsia="zh-CN"/>
        </w:rPr>
        <w:t>5</w:t>
      </w:r>
      <w:r>
        <w:rPr>
          <w:rFonts w:hint="eastAsia" w:ascii="仿宋_GB2312" w:eastAsia="仿宋_GB2312"/>
          <w:b/>
          <w:sz w:val="36"/>
          <w:szCs w:val="36"/>
        </w:rPr>
        <w:t>年部门预算——单位概况</w:t>
      </w:r>
    </w:p>
    <w:p>
      <w:pPr>
        <w:pStyle w:val="7"/>
        <w:keepNext w:val="0"/>
        <w:keepLines w:val="0"/>
        <w:pageBreakBefore w:val="0"/>
        <w:kinsoku/>
        <w:wordWrap/>
        <w:overflowPunct/>
        <w:topLinePunct w:val="0"/>
        <w:bidi w:val="0"/>
        <w:adjustRightInd/>
        <w:snapToGrid/>
        <w:spacing w:before="17" w:line="560" w:lineRule="exact"/>
        <w:textAlignment w:val="auto"/>
        <w:rPr>
          <w:rFonts w:ascii="Arial Unicode MS"/>
          <w:sz w:val="44"/>
        </w:rPr>
      </w:pPr>
    </w:p>
    <w:p>
      <w:pPr>
        <w:pStyle w:val="7"/>
        <w:keepNext w:val="0"/>
        <w:keepLines w:val="0"/>
        <w:pageBreakBefore w:val="0"/>
        <w:kinsoku/>
        <w:wordWrap/>
        <w:overflowPunct/>
        <w:topLinePunct w:val="0"/>
        <w:bidi w:val="0"/>
        <w:adjustRightInd/>
        <w:snapToGrid/>
        <w:spacing w:line="560" w:lineRule="exact"/>
        <w:ind w:left="747"/>
        <w:textAlignment w:val="auto"/>
        <w:rPr>
          <w:rFonts w:hint="eastAsia" w:ascii="黑体" w:eastAsia="黑体"/>
        </w:rPr>
      </w:pPr>
      <w:r>
        <w:rPr>
          <w:rFonts w:hint="eastAsia" w:ascii="黑体" w:eastAsia="黑体"/>
        </w:rPr>
        <w:t>一、主要职能</w:t>
      </w:r>
    </w:p>
    <w:p>
      <w:pPr>
        <w:pStyle w:val="7"/>
        <w:keepNext w:val="0"/>
        <w:keepLines w:val="0"/>
        <w:pageBreakBefore w:val="0"/>
        <w:kinsoku/>
        <w:wordWrap/>
        <w:overflowPunct/>
        <w:topLinePunct w:val="0"/>
        <w:bidi w:val="0"/>
        <w:adjustRightInd/>
        <w:snapToGrid/>
        <w:spacing w:before="111" w:line="560" w:lineRule="exact"/>
        <w:ind w:left="106" w:right="272" w:firstLine="640"/>
        <w:jc w:val="both"/>
        <w:textAlignment w:val="auto"/>
        <w:rPr>
          <w:rFonts w:hint="eastAsia" w:ascii="仿宋_GB2312" w:hAnsi="仿宋" w:eastAsia="仿宋_GB2312"/>
          <w:spacing w:val="-10"/>
        </w:rPr>
      </w:pPr>
      <w:r>
        <w:rPr>
          <w:rFonts w:hint="eastAsia" w:ascii="仿宋_GB2312" w:hAnsi="仿宋" w:eastAsia="仿宋_GB2312"/>
          <w:spacing w:val="-10"/>
        </w:rPr>
        <w:t>宁夏宁东能源化工基地位于宁夏中东部，距离银川40公里、河东机场25公里，规划总面积3500平方公里，核心区面积800平方公里。是国务院批准的国家重点开发区、国家重要的大型煤炭生产基地、“西电东送”火电基地、煤化工产业基地和现代煤化工示范区、循环经济示范区。宁东能源化工基地管理委员会对宁东基地实行统一领导、统一规划、统筹建设、协调管理。</w:t>
      </w:r>
    </w:p>
    <w:p>
      <w:pPr>
        <w:pStyle w:val="7"/>
        <w:keepNext w:val="0"/>
        <w:keepLines w:val="0"/>
        <w:pageBreakBefore w:val="0"/>
        <w:kinsoku/>
        <w:wordWrap/>
        <w:overflowPunct/>
        <w:topLinePunct w:val="0"/>
        <w:bidi w:val="0"/>
        <w:adjustRightInd/>
        <w:snapToGrid/>
        <w:spacing w:before="111" w:line="560" w:lineRule="exact"/>
        <w:ind w:left="106" w:right="272" w:firstLine="640"/>
        <w:jc w:val="both"/>
        <w:textAlignment w:val="auto"/>
        <w:rPr>
          <w:rFonts w:hint="eastAsia" w:ascii="仿宋_GB2312" w:hAnsi="仿宋" w:eastAsia="仿宋_GB2312"/>
          <w:spacing w:val="-10"/>
        </w:rPr>
      </w:pPr>
      <w:r>
        <w:rPr>
          <w:rFonts w:hint="eastAsia" w:ascii="仿宋_GB2312" w:hAnsi="仿宋" w:eastAsia="仿宋_GB2312"/>
          <w:spacing w:val="-10"/>
        </w:rPr>
        <w:t>（一）根据国家、自治区方针政策和法规，研究制定宁东基地发展目标、政策措施和总体规划，研究制定建设发展重大问题。</w:t>
      </w:r>
    </w:p>
    <w:p>
      <w:pPr>
        <w:pStyle w:val="7"/>
        <w:keepNext w:val="0"/>
        <w:keepLines w:val="0"/>
        <w:pageBreakBefore w:val="0"/>
        <w:kinsoku/>
        <w:wordWrap/>
        <w:overflowPunct/>
        <w:topLinePunct w:val="0"/>
        <w:bidi w:val="0"/>
        <w:adjustRightInd/>
        <w:snapToGrid/>
        <w:spacing w:before="111" w:line="560" w:lineRule="exact"/>
        <w:ind w:left="106" w:right="272" w:firstLine="640"/>
        <w:jc w:val="both"/>
        <w:textAlignment w:val="auto"/>
        <w:rPr>
          <w:rFonts w:hint="eastAsia" w:ascii="仿宋_GB2312" w:hAnsi="仿宋" w:eastAsia="仿宋_GB2312"/>
          <w:spacing w:val="-10"/>
        </w:rPr>
      </w:pPr>
      <w:r>
        <w:rPr>
          <w:rFonts w:hint="eastAsia" w:ascii="仿宋_GB2312" w:hAnsi="仿宋" w:eastAsia="仿宋_GB2312"/>
          <w:spacing w:val="-10"/>
        </w:rPr>
        <w:t>（二）组织编制宁东基地</w:t>
      </w:r>
      <w:r>
        <w:rPr>
          <w:rFonts w:hint="eastAsia" w:ascii="仿宋_GB2312" w:hAnsi="仿宋" w:eastAsia="仿宋_GB2312"/>
          <w:spacing w:val="-10"/>
          <w:lang w:eastAsia="zh-CN"/>
        </w:rPr>
        <w:t>发展战略及</w:t>
      </w:r>
      <w:r>
        <w:rPr>
          <w:rFonts w:hint="eastAsia" w:ascii="仿宋_GB2312" w:hAnsi="仿宋" w:eastAsia="仿宋_GB2312"/>
          <w:spacing w:val="-10"/>
        </w:rPr>
        <w:t>中长期发展规划</w:t>
      </w:r>
      <w:r>
        <w:rPr>
          <w:rFonts w:hint="eastAsia" w:ascii="仿宋_GB2312" w:hAnsi="仿宋" w:eastAsia="仿宋_GB2312"/>
          <w:spacing w:val="-10"/>
          <w:lang w:eastAsia="zh-CN"/>
        </w:rPr>
        <w:t>、详细规划和宁东基地经济社会发展</w:t>
      </w:r>
      <w:r>
        <w:rPr>
          <w:rFonts w:hint="eastAsia" w:ascii="仿宋_GB2312" w:hAnsi="仿宋" w:eastAsia="仿宋_GB2312"/>
          <w:spacing w:val="-10"/>
        </w:rPr>
        <w:t>年度计划</w:t>
      </w:r>
      <w:r>
        <w:rPr>
          <w:rFonts w:hint="eastAsia" w:ascii="仿宋_GB2312" w:hAnsi="仿宋" w:eastAsia="仿宋_GB2312"/>
          <w:spacing w:val="-10"/>
          <w:lang w:eastAsia="zh-CN"/>
        </w:rPr>
        <w:t>，</w:t>
      </w:r>
      <w:r>
        <w:rPr>
          <w:rFonts w:hint="eastAsia" w:ascii="仿宋_GB2312" w:hAnsi="仿宋" w:eastAsia="仿宋_GB2312"/>
          <w:spacing w:val="-10"/>
        </w:rPr>
        <w:t>并组织实施。</w:t>
      </w:r>
    </w:p>
    <w:p>
      <w:pPr>
        <w:pStyle w:val="7"/>
        <w:keepNext w:val="0"/>
        <w:keepLines w:val="0"/>
        <w:pageBreakBefore w:val="0"/>
        <w:kinsoku/>
        <w:wordWrap/>
        <w:overflowPunct/>
        <w:topLinePunct w:val="0"/>
        <w:bidi w:val="0"/>
        <w:adjustRightInd/>
        <w:snapToGrid/>
        <w:spacing w:before="111" w:line="560" w:lineRule="exact"/>
        <w:ind w:left="106" w:right="272" w:firstLine="640"/>
        <w:jc w:val="both"/>
        <w:textAlignment w:val="auto"/>
        <w:rPr>
          <w:rFonts w:hint="eastAsia" w:ascii="仿宋_GB2312" w:hAnsi="仿宋" w:eastAsia="仿宋_GB2312"/>
          <w:spacing w:val="-10"/>
        </w:rPr>
      </w:pPr>
      <w:r>
        <w:rPr>
          <w:rFonts w:hint="eastAsia" w:ascii="仿宋_GB2312" w:hAnsi="仿宋" w:eastAsia="仿宋_GB2312"/>
          <w:spacing w:val="-10"/>
        </w:rPr>
        <w:t>（三）根据管理权限和授权，负责或者依法参与宁东基地各类项目的审批、审核（备案）工作。</w:t>
      </w:r>
    </w:p>
    <w:p>
      <w:pPr>
        <w:pStyle w:val="7"/>
        <w:keepNext w:val="0"/>
        <w:keepLines w:val="0"/>
        <w:pageBreakBefore w:val="0"/>
        <w:kinsoku/>
        <w:wordWrap/>
        <w:overflowPunct/>
        <w:topLinePunct w:val="0"/>
        <w:bidi w:val="0"/>
        <w:adjustRightInd/>
        <w:snapToGrid/>
        <w:spacing w:before="111" w:line="560" w:lineRule="exact"/>
        <w:ind w:left="106" w:right="272" w:firstLine="640"/>
        <w:jc w:val="both"/>
        <w:textAlignment w:val="auto"/>
        <w:rPr>
          <w:rFonts w:hint="eastAsia" w:ascii="仿宋_GB2312" w:hAnsi="仿宋" w:eastAsia="仿宋_GB2312"/>
          <w:spacing w:val="-10"/>
        </w:rPr>
      </w:pPr>
      <w:r>
        <w:rPr>
          <w:rFonts w:hint="eastAsia" w:ascii="仿宋_GB2312" w:hAnsi="仿宋" w:eastAsia="仿宋_GB2312"/>
          <w:spacing w:val="-10"/>
        </w:rPr>
        <w:t>（四）根据管理权限和授权，负责宁东基地的财政、金融、审计、生态环境、经济社会统计工作。</w:t>
      </w:r>
    </w:p>
    <w:p>
      <w:pPr>
        <w:pStyle w:val="7"/>
        <w:keepNext w:val="0"/>
        <w:keepLines w:val="0"/>
        <w:pageBreakBefore w:val="0"/>
        <w:kinsoku/>
        <w:wordWrap/>
        <w:overflowPunct/>
        <w:topLinePunct w:val="0"/>
        <w:bidi w:val="0"/>
        <w:adjustRightInd/>
        <w:snapToGrid/>
        <w:spacing w:before="111" w:line="560" w:lineRule="exact"/>
        <w:ind w:left="106" w:right="272" w:firstLine="640"/>
        <w:jc w:val="both"/>
        <w:textAlignment w:val="auto"/>
        <w:rPr>
          <w:rFonts w:hint="eastAsia" w:ascii="仿宋_GB2312" w:hAnsi="仿宋" w:eastAsia="仿宋_GB2312"/>
          <w:spacing w:val="-10"/>
        </w:rPr>
      </w:pPr>
      <w:r>
        <w:rPr>
          <w:rFonts w:hint="eastAsia" w:ascii="仿宋_GB2312" w:hAnsi="仿宋" w:eastAsia="仿宋_GB2312"/>
          <w:spacing w:val="-10"/>
        </w:rPr>
        <w:t>（五）根据管理权限和授权，负责宁东基地人力资源社会保障、自然资源、应急管理、国有资产等行政管理工作。</w:t>
      </w:r>
    </w:p>
    <w:p>
      <w:pPr>
        <w:pStyle w:val="7"/>
        <w:keepNext w:val="0"/>
        <w:keepLines w:val="0"/>
        <w:pageBreakBefore w:val="0"/>
        <w:kinsoku/>
        <w:wordWrap/>
        <w:overflowPunct/>
        <w:topLinePunct w:val="0"/>
        <w:bidi w:val="0"/>
        <w:adjustRightInd/>
        <w:snapToGrid/>
        <w:spacing w:before="111" w:line="560" w:lineRule="exact"/>
        <w:ind w:left="106" w:right="272" w:firstLine="640"/>
        <w:jc w:val="both"/>
        <w:textAlignment w:val="auto"/>
        <w:rPr>
          <w:rFonts w:hint="eastAsia" w:ascii="仿宋_GB2312" w:hAnsi="仿宋" w:eastAsia="仿宋_GB2312"/>
          <w:spacing w:val="-10"/>
        </w:rPr>
      </w:pPr>
      <w:r>
        <w:rPr>
          <w:rFonts w:hint="eastAsia" w:ascii="仿宋_GB2312" w:hAnsi="仿宋" w:eastAsia="仿宋_GB2312"/>
          <w:spacing w:val="-10"/>
        </w:rPr>
        <w:t>（六）负责基地基础设施的建设和管理。负责宁东镇区域内的教育、科技、文化、卫生等公共事业。</w:t>
      </w:r>
    </w:p>
    <w:p>
      <w:pPr>
        <w:pStyle w:val="7"/>
        <w:keepNext w:val="0"/>
        <w:keepLines w:val="0"/>
        <w:pageBreakBefore w:val="0"/>
        <w:kinsoku/>
        <w:wordWrap/>
        <w:overflowPunct/>
        <w:topLinePunct w:val="0"/>
        <w:bidi w:val="0"/>
        <w:adjustRightInd/>
        <w:snapToGrid/>
        <w:spacing w:before="111" w:line="560" w:lineRule="exact"/>
        <w:ind w:left="106" w:right="272" w:firstLine="640"/>
        <w:jc w:val="both"/>
        <w:textAlignment w:val="auto"/>
        <w:rPr>
          <w:rFonts w:hint="eastAsia" w:ascii="仿宋_GB2312" w:hAnsi="仿宋" w:eastAsia="仿宋_GB2312"/>
          <w:spacing w:val="-10"/>
        </w:rPr>
      </w:pPr>
      <w:r>
        <w:rPr>
          <w:rFonts w:hint="eastAsia" w:ascii="仿宋_GB2312" w:hAnsi="仿宋" w:eastAsia="仿宋_GB2312"/>
          <w:spacing w:val="-10"/>
        </w:rPr>
        <w:t>（七）负责基地的招商引资和经济技术合作工作。</w:t>
      </w:r>
    </w:p>
    <w:p>
      <w:pPr>
        <w:pStyle w:val="7"/>
        <w:keepNext w:val="0"/>
        <w:keepLines w:val="0"/>
        <w:pageBreakBefore w:val="0"/>
        <w:kinsoku/>
        <w:wordWrap/>
        <w:overflowPunct/>
        <w:topLinePunct w:val="0"/>
        <w:bidi w:val="0"/>
        <w:adjustRightInd/>
        <w:snapToGrid/>
        <w:spacing w:before="111" w:line="560" w:lineRule="exact"/>
        <w:ind w:left="106" w:right="272" w:firstLine="640"/>
        <w:jc w:val="both"/>
        <w:textAlignment w:val="auto"/>
        <w:rPr>
          <w:rFonts w:ascii="仿宋" w:hAnsi="仿宋" w:eastAsia="仿宋"/>
          <w:spacing w:val="-10"/>
        </w:rPr>
      </w:pPr>
      <w:r>
        <w:rPr>
          <w:rFonts w:hint="eastAsia" w:ascii="仿宋_GB2312" w:hAnsi="仿宋" w:eastAsia="仿宋_GB2312"/>
          <w:spacing w:val="-10"/>
        </w:rPr>
        <w:t>（八）完成自治区党委、政府交办的其他工作。</w:t>
      </w:r>
    </w:p>
    <w:p>
      <w:pPr>
        <w:pStyle w:val="7"/>
        <w:keepNext w:val="0"/>
        <w:keepLines w:val="0"/>
        <w:pageBreakBefore w:val="0"/>
        <w:kinsoku/>
        <w:wordWrap/>
        <w:overflowPunct/>
        <w:topLinePunct w:val="0"/>
        <w:bidi w:val="0"/>
        <w:adjustRightInd/>
        <w:snapToGrid/>
        <w:spacing w:before="111" w:line="560" w:lineRule="exact"/>
        <w:ind w:left="106" w:right="272" w:firstLine="640"/>
        <w:jc w:val="both"/>
        <w:textAlignment w:val="auto"/>
        <w:rPr>
          <w:spacing w:val="-10"/>
        </w:rPr>
      </w:pPr>
    </w:p>
    <w:p>
      <w:pPr>
        <w:pStyle w:val="7"/>
        <w:keepNext w:val="0"/>
        <w:keepLines w:val="0"/>
        <w:pageBreakBefore w:val="0"/>
        <w:kinsoku/>
        <w:wordWrap/>
        <w:overflowPunct/>
        <w:topLinePunct w:val="0"/>
        <w:bidi w:val="0"/>
        <w:adjustRightInd/>
        <w:snapToGrid/>
        <w:spacing w:line="560" w:lineRule="exact"/>
        <w:ind w:left="747"/>
        <w:textAlignment w:val="auto"/>
        <w:rPr>
          <w:rFonts w:hint="eastAsia" w:ascii="黑体" w:eastAsia="黑体"/>
        </w:rPr>
      </w:pPr>
      <w:r>
        <w:rPr>
          <w:rFonts w:hint="eastAsia" w:ascii="黑体" w:eastAsia="黑体"/>
        </w:rPr>
        <w:t>二、部门预算单位构成</w:t>
      </w:r>
    </w:p>
    <w:p>
      <w:pPr>
        <w:pStyle w:val="7"/>
        <w:keepNext w:val="0"/>
        <w:keepLines w:val="0"/>
        <w:pageBreakBefore w:val="0"/>
        <w:kinsoku/>
        <w:wordWrap/>
        <w:overflowPunct/>
        <w:topLinePunct w:val="0"/>
        <w:bidi w:val="0"/>
        <w:adjustRightInd/>
        <w:snapToGrid/>
        <w:spacing w:before="111" w:line="560" w:lineRule="exact"/>
        <w:ind w:left="106" w:right="272" w:firstLine="640"/>
        <w:jc w:val="both"/>
        <w:textAlignment w:val="auto"/>
        <w:rPr>
          <w:spacing w:val="-10"/>
        </w:rPr>
      </w:pPr>
      <w:r>
        <w:rPr>
          <w:rFonts w:hint="eastAsia" w:ascii="仿宋_GB2312" w:hAnsi="仿宋" w:eastAsia="仿宋_GB2312"/>
          <w:spacing w:val="-10"/>
        </w:rPr>
        <w:t>部门预算</w:t>
      </w:r>
      <w:r>
        <w:rPr>
          <w:rFonts w:hint="eastAsia" w:ascii="仿宋_GB2312" w:hAnsi="仿宋" w:eastAsia="仿宋_GB2312"/>
          <w:spacing w:val="-10"/>
          <w:lang w:eastAsia="zh-CN"/>
        </w:rPr>
        <w:t>编制范围</w:t>
      </w:r>
      <w:r>
        <w:rPr>
          <w:rFonts w:hint="eastAsia" w:ascii="仿宋_GB2312" w:hAnsi="仿宋" w:eastAsia="仿宋_GB2312"/>
          <w:spacing w:val="-10"/>
        </w:rPr>
        <w:t>包括管委会</w:t>
      </w:r>
      <w:r>
        <w:rPr>
          <w:rFonts w:hint="eastAsia" w:ascii="仿宋_GB2312" w:hAnsi="仿宋" w:eastAsia="仿宋_GB2312"/>
          <w:spacing w:val="-10"/>
          <w:lang w:val="en-US" w:eastAsia="zh-CN"/>
        </w:rPr>
        <w:t>1</w:t>
      </w:r>
      <w:r>
        <w:rPr>
          <w:rFonts w:hint="eastAsia" w:ascii="仿宋_GB2312" w:hAnsi="仿宋" w:eastAsia="仿宋_GB2312"/>
          <w:spacing w:val="-10"/>
        </w:rPr>
        <w:t>个行政单位，</w:t>
      </w:r>
      <w:r>
        <w:rPr>
          <w:rFonts w:hint="eastAsia" w:ascii="仿宋_GB2312" w:hAnsi="仿宋" w:eastAsia="仿宋_GB2312"/>
          <w:spacing w:val="-10"/>
          <w:lang w:eastAsia="zh-CN"/>
        </w:rPr>
        <w:t>设有内设部门</w:t>
      </w:r>
      <w:r>
        <w:rPr>
          <w:rFonts w:hint="eastAsia" w:ascii="仿宋_GB2312" w:hAnsi="仿宋" w:eastAsia="仿宋_GB2312"/>
          <w:spacing w:val="-10"/>
        </w:rPr>
        <w:t>：</w:t>
      </w:r>
      <w:r>
        <w:rPr>
          <w:rFonts w:hint="eastAsia" w:ascii="仿宋_GB2312" w:hAnsi="仿宋" w:eastAsia="仿宋_GB2312"/>
          <w:spacing w:val="-10"/>
          <w:lang w:eastAsia="zh-CN"/>
        </w:rPr>
        <w:t>纪检监察委、</w:t>
      </w:r>
      <w:r>
        <w:rPr>
          <w:rFonts w:hint="eastAsia" w:ascii="仿宋_GB2312" w:hAnsi="仿宋" w:eastAsia="仿宋_GB2312"/>
          <w:spacing w:val="-10"/>
        </w:rPr>
        <w:t>办公室（审计办）、党群工作部（机关党委）、经济发展局（统计局）、财政金融局、</w:t>
      </w:r>
      <w:r>
        <w:rPr>
          <w:rFonts w:hint="eastAsia" w:ascii="仿宋_GB2312" w:hAnsi="仿宋" w:eastAsia="仿宋_GB2312"/>
          <w:spacing w:val="-10"/>
          <w:lang w:eastAsia="zh-CN"/>
        </w:rPr>
        <w:t>人力资源局、自然资源局、</w:t>
      </w:r>
      <w:r>
        <w:rPr>
          <w:rFonts w:hint="eastAsia" w:ascii="仿宋_GB2312" w:hAnsi="仿宋" w:eastAsia="仿宋_GB2312"/>
          <w:spacing w:val="-10"/>
        </w:rPr>
        <w:t>生态环境局、</w:t>
      </w:r>
      <w:r>
        <w:rPr>
          <w:rFonts w:hint="eastAsia" w:ascii="仿宋_GB2312" w:hAnsi="仿宋" w:eastAsia="仿宋_GB2312"/>
          <w:spacing w:val="-10"/>
          <w:lang w:eastAsia="zh-CN"/>
        </w:rPr>
        <w:t>建设和交通局、</w:t>
      </w:r>
      <w:r>
        <w:rPr>
          <w:rFonts w:hint="eastAsia" w:ascii="仿宋_GB2312" w:hAnsi="仿宋" w:eastAsia="仿宋_GB2312"/>
          <w:spacing w:val="-10"/>
        </w:rPr>
        <w:t>招商局、应急管理局、科技和信息化局</w:t>
      </w:r>
      <w:r>
        <w:rPr>
          <w:rFonts w:hint="eastAsia" w:ascii="仿宋_GB2312" w:hAnsi="仿宋" w:eastAsia="仿宋_GB2312"/>
          <w:spacing w:val="-10"/>
          <w:lang w:eastAsia="zh-CN"/>
        </w:rPr>
        <w:t>、</w:t>
      </w:r>
      <w:r>
        <w:rPr>
          <w:rFonts w:hint="eastAsia" w:ascii="仿宋_GB2312" w:hAnsi="仿宋" w:eastAsia="仿宋_GB2312"/>
          <w:spacing w:val="-10"/>
        </w:rPr>
        <w:t>社会事务局、</w:t>
      </w:r>
      <w:r>
        <w:rPr>
          <w:rFonts w:hint="eastAsia" w:ascii="仿宋_GB2312" w:hAnsi="仿宋" w:eastAsia="仿宋_GB2312"/>
          <w:spacing w:val="-10"/>
          <w:lang w:eastAsia="zh-CN"/>
        </w:rPr>
        <w:t>建设工程质量监督站。</w:t>
      </w:r>
    </w:p>
    <w:p>
      <w:pPr>
        <w:pStyle w:val="7"/>
        <w:keepNext w:val="0"/>
        <w:keepLines w:val="0"/>
        <w:pageBreakBefore w:val="0"/>
        <w:kinsoku/>
        <w:wordWrap/>
        <w:overflowPunct/>
        <w:topLinePunct w:val="0"/>
        <w:bidi w:val="0"/>
        <w:adjustRightInd/>
        <w:snapToGrid/>
        <w:spacing w:line="560" w:lineRule="exact"/>
        <w:textAlignment w:val="auto"/>
        <w:rPr>
          <w:sz w:val="20"/>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pStyle w:val="7"/>
        <w:keepNext w:val="0"/>
        <w:keepLines w:val="0"/>
        <w:pageBreakBefore w:val="0"/>
        <w:kinsoku/>
        <w:wordWrap/>
        <w:overflowPunct/>
        <w:topLinePunct w:val="0"/>
        <w:bidi w:val="0"/>
        <w:adjustRightInd/>
        <w:snapToGrid/>
        <w:spacing w:before="9" w:line="560" w:lineRule="exact"/>
        <w:textAlignment w:val="auto"/>
        <w:rPr>
          <w:sz w:val="28"/>
        </w:rPr>
      </w:pPr>
    </w:p>
    <w:p>
      <w:pPr>
        <w:keepNext w:val="0"/>
        <w:keepLines w:val="0"/>
        <w:pageBreakBefore w:val="0"/>
        <w:widowControl/>
        <w:kinsoku/>
        <w:wordWrap/>
        <w:overflowPunct/>
        <w:topLinePunct w:val="0"/>
        <w:bidi w:val="0"/>
        <w:adjustRightInd/>
        <w:snapToGrid/>
        <w:spacing w:line="560" w:lineRule="exact"/>
        <w:jc w:val="center"/>
        <w:textAlignment w:val="auto"/>
        <w:outlineLvl w:val="1"/>
        <w:rPr>
          <w:rFonts w:hint="eastAsia" w:ascii="仿宋_GB2312" w:eastAsia="仿宋_GB2312"/>
          <w:b/>
          <w:sz w:val="36"/>
          <w:szCs w:val="36"/>
          <w:lang w:eastAsia="zh-CN"/>
        </w:rPr>
      </w:pPr>
      <w:r>
        <w:rPr>
          <w:rFonts w:hint="eastAsia" w:ascii="仿宋_GB2312" w:eastAsia="仿宋_GB2312"/>
          <w:b/>
          <w:sz w:val="36"/>
          <w:szCs w:val="36"/>
        </w:rPr>
        <w:t>宁东管委会（本级）202</w:t>
      </w:r>
      <w:r>
        <w:rPr>
          <w:rFonts w:hint="eastAsia" w:ascii="仿宋_GB2312" w:eastAsia="仿宋_GB2312"/>
          <w:b/>
          <w:sz w:val="36"/>
          <w:szCs w:val="36"/>
          <w:lang w:val="en-US" w:eastAsia="zh-CN"/>
        </w:rPr>
        <w:t>5</w:t>
      </w:r>
      <w:r>
        <w:rPr>
          <w:rFonts w:hint="eastAsia" w:ascii="仿宋_GB2312" w:eastAsia="仿宋_GB2312"/>
          <w:b/>
          <w:sz w:val="36"/>
          <w:szCs w:val="36"/>
        </w:rPr>
        <w:t>年部门预算</w:t>
      </w:r>
      <w:r>
        <w:rPr>
          <w:rFonts w:hint="eastAsia" w:ascii="仿宋_GB2312" w:eastAsia="仿宋_GB2312"/>
          <w:b/>
          <w:sz w:val="36"/>
          <w:szCs w:val="36"/>
          <w:lang w:eastAsia="zh-CN"/>
        </w:rPr>
        <w:t>表</w:t>
      </w:r>
    </w:p>
    <w:p>
      <w:pPr>
        <w:pStyle w:val="7"/>
        <w:keepNext w:val="0"/>
        <w:keepLines w:val="0"/>
        <w:pageBreakBefore w:val="0"/>
        <w:widowControl w:val="0"/>
        <w:kinsoku/>
        <w:wordWrap/>
        <w:overflowPunct/>
        <w:topLinePunct w:val="0"/>
        <w:autoSpaceDE w:val="0"/>
        <w:autoSpaceDN w:val="0"/>
        <w:bidi w:val="0"/>
        <w:adjustRightInd/>
        <w:snapToGrid/>
        <w:spacing w:before="17"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（详见附表）。</w:t>
      </w:r>
    </w:p>
    <w:p>
      <w:pPr>
        <w:pStyle w:val="3"/>
        <w:keepNext w:val="0"/>
        <w:keepLines w:val="0"/>
        <w:pageBreakBefore w:val="0"/>
        <w:kinsoku/>
        <w:wordWrap/>
        <w:overflowPunct/>
        <w:topLinePunct w:val="0"/>
        <w:bidi w:val="0"/>
        <w:adjustRightInd/>
        <w:snapToGrid/>
        <w:spacing w:line="560" w:lineRule="exact"/>
        <w:ind w:left="220"/>
        <w:textAlignment w:val="auto"/>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center"/>
        <w:textAlignment w:val="auto"/>
        <w:rPr>
          <w:rFonts w:ascii="Arial Unicode MS" w:hAnsi="Arial Unicode MS" w:eastAsia="Arial Unicode MS" w:cs="Arial Unicode MS"/>
          <w:sz w:val="44"/>
          <w:szCs w:val="44"/>
        </w:rPr>
      </w:pPr>
    </w:p>
    <w:p>
      <w:pPr>
        <w:pStyle w:val="7"/>
        <w:keepNext w:val="0"/>
        <w:keepLines w:val="0"/>
        <w:pageBreakBefore w:val="0"/>
        <w:kinsoku/>
        <w:wordWrap/>
        <w:overflowPunct/>
        <w:topLinePunct w:val="0"/>
        <w:bidi w:val="0"/>
        <w:adjustRightInd/>
        <w:snapToGrid/>
        <w:spacing w:before="54" w:line="560" w:lineRule="exact"/>
        <w:jc w:val="both"/>
        <w:textAlignment w:val="auto"/>
        <w:rPr>
          <w:rFonts w:ascii="Arial Unicode MS" w:hAnsi="Arial Unicode MS" w:eastAsia="Arial Unicode MS" w:cs="Arial Unicode MS"/>
          <w:sz w:val="44"/>
          <w:szCs w:val="44"/>
        </w:rPr>
      </w:pPr>
    </w:p>
    <w:p>
      <w:pPr>
        <w:keepNext w:val="0"/>
        <w:keepLines w:val="0"/>
        <w:pageBreakBefore w:val="0"/>
        <w:widowControl/>
        <w:kinsoku/>
        <w:wordWrap/>
        <w:overflowPunct/>
        <w:topLinePunct w:val="0"/>
        <w:bidi w:val="0"/>
        <w:adjustRightInd/>
        <w:snapToGrid/>
        <w:spacing w:line="560" w:lineRule="exact"/>
        <w:jc w:val="center"/>
        <w:textAlignment w:val="auto"/>
        <w:outlineLvl w:val="1"/>
        <w:rPr>
          <w:rFonts w:hint="eastAsia" w:ascii="仿宋_GB2312" w:eastAsia="仿宋_GB2312"/>
          <w:b/>
          <w:sz w:val="36"/>
          <w:szCs w:val="36"/>
        </w:rPr>
      </w:pPr>
      <w:r>
        <w:rPr>
          <w:rFonts w:hint="eastAsia" w:ascii="仿宋_GB2312" w:eastAsia="仿宋_GB2312"/>
          <w:b/>
          <w:sz w:val="36"/>
          <w:szCs w:val="36"/>
        </w:rPr>
        <w:t>宁东管委会</w:t>
      </w:r>
      <w:r>
        <w:rPr>
          <w:rFonts w:hint="eastAsia" w:ascii="仿宋_GB2312" w:eastAsia="仿宋_GB2312"/>
          <w:b/>
          <w:sz w:val="36"/>
          <w:szCs w:val="36"/>
          <w:lang w:eastAsia="zh-CN"/>
        </w:rPr>
        <w:t>（本级）</w:t>
      </w:r>
      <w:r>
        <w:rPr>
          <w:rFonts w:hint="eastAsia" w:ascii="仿宋_GB2312" w:eastAsia="仿宋_GB2312"/>
          <w:b/>
          <w:sz w:val="36"/>
          <w:szCs w:val="36"/>
        </w:rPr>
        <w:t>202</w:t>
      </w:r>
      <w:r>
        <w:rPr>
          <w:rFonts w:hint="eastAsia" w:ascii="仿宋_GB2312" w:eastAsia="仿宋_GB2312"/>
          <w:b/>
          <w:sz w:val="36"/>
          <w:szCs w:val="36"/>
          <w:lang w:val="en-US" w:eastAsia="zh-CN"/>
        </w:rPr>
        <w:t>5</w:t>
      </w:r>
      <w:r>
        <w:rPr>
          <w:rFonts w:hint="eastAsia" w:ascii="仿宋_GB2312" w:eastAsia="仿宋_GB2312"/>
          <w:b/>
          <w:sz w:val="36"/>
          <w:szCs w:val="36"/>
        </w:rPr>
        <w:t>年部门预算情况说明</w:t>
      </w:r>
    </w:p>
    <w:p>
      <w:pPr>
        <w:pStyle w:val="7"/>
        <w:keepNext w:val="0"/>
        <w:keepLines w:val="0"/>
        <w:pageBreakBefore w:val="0"/>
        <w:kinsoku/>
        <w:wordWrap/>
        <w:overflowPunct/>
        <w:topLinePunct w:val="0"/>
        <w:bidi w:val="0"/>
        <w:adjustRightInd/>
        <w:snapToGrid/>
        <w:spacing w:before="205" w:line="560" w:lineRule="exact"/>
        <w:ind w:left="106" w:right="220" w:firstLine="660"/>
        <w:textAlignment w:val="auto"/>
        <w:rPr>
          <w:rFonts w:hint="eastAsia" w:ascii="黑体" w:eastAsia="黑体"/>
        </w:rPr>
      </w:pPr>
      <w:r>
        <w:rPr>
          <w:rFonts w:hint="eastAsia" w:ascii="黑体" w:eastAsia="黑体"/>
        </w:rPr>
        <w:t>一、关于202</w:t>
      </w:r>
      <w:r>
        <w:rPr>
          <w:rFonts w:hint="eastAsia" w:ascii="黑体" w:eastAsia="黑体"/>
          <w:lang w:val="en-US" w:eastAsia="zh-CN"/>
        </w:rPr>
        <w:t>5</w:t>
      </w:r>
      <w:r>
        <w:rPr>
          <w:rFonts w:hint="eastAsia" w:ascii="黑体" w:eastAsia="黑体"/>
        </w:rPr>
        <w:t>年财政拨款收支预算情况的总体说明</w:t>
      </w:r>
    </w:p>
    <w:p>
      <w:pPr>
        <w:pStyle w:val="7"/>
        <w:keepNext w:val="0"/>
        <w:keepLines w:val="0"/>
        <w:pageBreakBefore w:val="0"/>
        <w:kinsoku/>
        <w:wordWrap/>
        <w:overflowPunct/>
        <w:topLinePunct w:val="0"/>
        <w:bidi w:val="0"/>
        <w:adjustRightInd/>
        <w:snapToGrid/>
        <w:spacing w:line="560" w:lineRule="exact"/>
        <w:ind w:firstLine="608" w:firstLineChars="200"/>
        <w:jc w:val="both"/>
        <w:textAlignment w:val="auto"/>
        <w:rPr>
          <w:rFonts w:ascii="仿宋_GB2312" w:eastAsia="仿宋_GB2312"/>
          <w:spacing w:val="-8"/>
        </w:rPr>
      </w:pPr>
      <w:r>
        <w:rPr>
          <w:rFonts w:hint="eastAsia" w:ascii="仿宋_GB2312" w:eastAsia="仿宋_GB2312"/>
          <w:spacing w:val="-8"/>
        </w:rPr>
        <w:t>202</w:t>
      </w:r>
      <w:r>
        <w:rPr>
          <w:rFonts w:hint="eastAsia" w:ascii="仿宋_GB2312" w:eastAsia="仿宋_GB2312"/>
          <w:spacing w:val="-8"/>
          <w:lang w:val="en-US" w:eastAsia="zh-CN"/>
        </w:rPr>
        <w:t>5</w:t>
      </w:r>
      <w:r>
        <w:rPr>
          <w:rFonts w:hint="eastAsia" w:ascii="仿宋_GB2312" w:eastAsia="仿宋_GB2312"/>
          <w:spacing w:val="-8"/>
        </w:rPr>
        <w:t>年财政拨款收入预算总计</w:t>
      </w:r>
      <w:r>
        <w:rPr>
          <w:rFonts w:hint="eastAsia" w:ascii="仿宋_GB2312" w:eastAsia="仿宋_GB2312"/>
          <w:spacing w:val="-8"/>
          <w:lang w:val="en-US" w:eastAsia="zh-CN"/>
        </w:rPr>
        <w:t>112238</w:t>
      </w:r>
      <w:r>
        <w:rPr>
          <w:rFonts w:hint="eastAsia" w:ascii="仿宋_GB2312" w:eastAsia="仿宋_GB2312"/>
          <w:spacing w:val="-8"/>
          <w:lang w:val="en-US"/>
        </w:rPr>
        <w:t>万</w:t>
      </w:r>
      <w:r>
        <w:rPr>
          <w:rFonts w:hint="eastAsia" w:ascii="仿宋_GB2312" w:eastAsia="仿宋_GB2312"/>
          <w:spacing w:val="-8"/>
        </w:rPr>
        <w:t>元，其中：一般公共预算拨款收入</w:t>
      </w:r>
      <w:r>
        <w:rPr>
          <w:rFonts w:hint="eastAsia" w:ascii="仿宋_GB2312" w:eastAsia="仿宋_GB2312"/>
          <w:spacing w:val="-8"/>
          <w:lang w:val="en-US" w:eastAsia="zh-CN"/>
        </w:rPr>
        <w:t>111909</w:t>
      </w:r>
      <w:r>
        <w:rPr>
          <w:rFonts w:hint="eastAsia" w:ascii="仿宋_GB2312" w:eastAsia="仿宋_GB2312"/>
          <w:spacing w:val="-8"/>
          <w:lang w:val="en-US"/>
        </w:rPr>
        <w:t>万</w:t>
      </w:r>
      <w:r>
        <w:rPr>
          <w:rFonts w:hint="eastAsia" w:ascii="仿宋_GB2312" w:eastAsia="仿宋_GB2312"/>
          <w:spacing w:val="-8"/>
        </w:rPr>
        <w:t>元。</w:t>
      </w:r>
    </w:p>
    <w:p>
      <w:pPr>
        <w:pStyle w:val="7"/>
        <w:keepNext w:val="0"/>
        <w:keepLines w:val="0"/>
        <w:pageBreakBefore w:val="0"/>
        <w:kinsoku/>
        <w:wordWrap/>
        <w:overflowPunct/>
        <w:topLinePunct w:val="0"/>
        <w:bidi w:val="0"/>
        <w:adjustRightInd/>
        <w:snapToGrid/>
        <w:spacing w:line="560" w:lineRule="exact"/>
        <w:ind w:firstLine="608" w:firstLineChars="200"/>
        <w:jc w:val="both"/>
        <w:textAlignment w:val="auto"/>
        <w:rPr>
          <w:rFonts w:ascii="仿宋_GB2312" w:eastAsia="仿宋_GB2312"/>
          <w:spacing w:val="-8"/>
        </w:rPr>
      </w:pPr>
      <w:r>
        <w:rPr>
          <w:rFonts w:hint="eastAsia" w:ascii="仿宋_GB2312" w:eastAsia="仿宋_GB2312"/>
          <w:spacing w:val="-8"/>
        </w:rPr>
        <w:t>202</w:t>
      </w:r>
      <w:r>
        <w:rPr>
          <w:rFonts w:hint="eastAsia" w:ascii="仿宋_GB2312" w:eastAsia="仿宋_GB2312"/>
          <w:spacing w:val="-8"/>
          <w:lang w:val="en-US" w:eastAsia="zh-CN"/>
        </w:rPr>
        <w:t>5</w:t>
      </w:r>
      <w:r>
        <w:rPr>
          <w:rFonts w:hint="eastAsia" w:ascii="仿宋_GB2312" w:eastAsia="仿宋_GB2312"/>
          <w:spacing w:val="-8"/>
        </w:rPr>
        <w:t>年财政拨款支出预算</w:t>
      </w:r>
      <w:r>
        <w:rPr>
          <w:rFonts w:hint="eastAsia" w:ascii="仿宋_GB2312" w:eastAsia="仿宋_GB2312"/>
          <w:spacing w:val="-8"/>
          <w:lang w:val="en-US" w:eastAsia="zh-CN"/>
        </w:rPr>
        <w:t>112238</w:t>
      </w:r>
      <w:r>
        <w:rPr>
          <w:rFonts w:hint="eastAsia" w:ascii="仿宋_GB2312" w:eastAsia="仿宋_GB2312"/>
          <w:spacing w:val="-8"/>
          <w:lang w:val="en-US"/>
        </w:rPr>
        <w:t>万</w:t>
      </w:r>
      <w:r>
        <w:rPr>
          <w:rFonts w:hint="eastAsia" w:ascii="仿宋_GB2312" w:eastAsia="仿宋_GB2312"/>
          <w:spacing w:val="-8"/>
        </w:rPr>
        <w:t>元，其中：</w:t>
      </w:r>
    </w:p>
    <w:p>
      <w:pPr>
        <w:pStyle w:val="7"/>
        <w:keepNext w:val="0"/>
        <w:keepLines w:val="0"/>
        <w:pageBreakBefore w:val="0"/>
        <w:kinsoku/>
        <w:wordWrap/>
        <w:overflowPunct/>
        <w:topLinePunct w:val="0"/>
        <w:bidi w:val="0"/>
        <w:adjustRightInd/>
        <w:snapToGrid/>
        <w:spacing w:line="560" w:lineRule="exact"/>
        <w:ind w:firstLine="608" w:firstLineChars="200"/>
        <w:jc w:val="both"/>
        <w:textAlignment w:val="auto"/>
        <w:rPr>
          <w:rFonts w:ascii="仿宋_GB2312"/>
          <w:sz w:val="27"/>
        </w:rPr>
      </w:pPr>
      <w:r>
        <w:rPr>
          <w:rFonts w:hint="eastAsia" w:ascii="仿宋_GB2312" w:eastAsia="仿宋_GB2312"/>
          <w:spacing w:val="-8"/>
          <w:lang w:val="en-US"/>
        </w:rPr>
        <w:t>一般公共服务支出</w:t>
      </w:r>
      <w:r>
        <w:rPr>
          <w:rFonts w:hint="eastAsia" w:ascii="仿宋_GB2312" w:eastAsia="仿宋_GB2312"/>
          <w:spacing w:val="-8"/>
          <w:lang w:val="en-US" w:eastAsia="zh-CN"/>
        </w:rPr>
        <w:t>35046万元、公共安全支出25万元、科学技术支出32231万元、社会保障和就业支出3435万元、卫生健康支出281万元、节能环保支出11496万元、城乡社区支出11080万元、农林水支出20万元、交通运输支出3709万元、资源勘探工业信息等支出20万元、自然资源海洋气象等支出2829万元，住房保障支出5087万元、灾害防治及应急管理支出6976万元。</w:t>
      </w:r>
    </w:p>
    <w:p>
      <w:pPr>
        <w:pStyle w:val="7"/>
        <w:keepNext w:val="0"/>
        <w:keepLines w:val="0"/>
        <w:pageBreakBefore w:val="0"/>
        <w:kinsoku/>
        <w:wordWrap/>
        <w:overflowPunct/>
        <w:topLinePunct w:val="0"/>
        <w:bidi w:val="0"/>
        <w:adjustRightInd/>
        <w:snapToGrid/>
        <w:spacing w:before="205" w:line="560" w:lineRule="exact"/>
        <w:ind w:left="106" w:right="220" w:firstLine="660"/>
        <w:textAlignment w:val="auto"/>
        <w:rPr>
          <w:rFonts w:hint="eastAsia" w:ascii="黑体" w:eastAsia="黑体"/>
        </w:rPr>
      </w:pPr>
      <w:r>
        <w:rPr>
          <w:rFonts w:hint="eastAsia" w:ascii="黑体" w:eastAsia="黑体"/>
        </w:rPr>
        <w:t>二、关于202</w:t>
      </w:r>
      <w:r>
        <w:rPr>
          <w:rFonts w:hint="eastAsia" w:ascii="黑体" w:eastAsia="黑体"/>
          <w:lang w:val="en-US" w:eastAsia="zh-CN"/>
        </w:rPr>
        <w:t>5</w:t>
      </w:r>
      <w:r>
        <w:rPr>
          <w:rFonts w:hint="eastAsia" w:ascii="黑体" w:eastAsia="黑体"/>
        </w:rPr>
        <w:t>年一般公共预算财政拨款支出情况说明</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根据20</w:t>
      </w:r>
      <w:r>
        <w:rPr>
          <w:rFonts w:hint="eastAsia" w:ascii="仿宋_GB2312" w:hAnsi="仿宋_GB2312" w:eastAsia="仿宋_GB2312" w:cs="仿宋_GB2312"/>
          <w:sz w:val="32"/>
          <w:szCs w:val="32"/>
          <w:highlight w:val="none"/>
          <w:lang w:val="en-US"/>
        </w:rPr>
        <w:t>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年基地经济发展态势，在充分考虑各方面资金需求，在确保“保工资、保运转、保基本民生”支出的基础上，按照“稳增长、调结构、惠民生、促发展、防风险”的原则，围绕基地20</w:t>
      </w:r>
      <w:r>
        <w:rPr>
          <w:rFonts w:hint="eastAsia" w:ascii="仿宋_GB2312" w:hAnsi="仿宋_GB2312" w:eastAsia="仿宋_GB2312" w:cs="仿宋_GB2312"/>
          <w:sz w:val="32"/>
          <w:szCs w:val="32"/>
          <w:highlight w:val="none"/>
          <w:lang w:val="en-US"/>
        </w:rPr>
        <w:t>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年重点工作，统筹安排部门支出</w:t>
      </w:r>
      <w:r>
        <w:rPr>
          <w:rFonts w:hint="eastAsia" w:ascii="仿宋_GB2312" w:hAnsi="仿宋_GB2312" w:eastAsia="仿宋_GB2312" w:cs="仿宋_GB2312"/>
          <w:sz w:val="32"/>
          <w:szCs w:val="32"/>
          <w:highlight w:val="none"/>
          <w:lang w:val="en-US" w:eastAsia="zh-CN"/>
        </w:rPr>
        <w:t>111909万</w:t>
      </w:r>
      <w:r>
        <w:rPr>
          <w:rFonts w:hint="eastAsia" w:ascii="仿宋_GB2312" w:hAnsi="仿宋_GB2312" w:eastAsia="仿宋_GB2312" w:cs="仿宋_GB2312"/>
          <w:sz w:val="32"/>
          <w:szCs w:val="32"/>
          <w:highlight w:val="none"/>
        </w:rPr>
        <w:t>元，其中：人员支出</w:t>
      </w:r>
      <w:r>
        <w:rPr>
          <w:rFonts w:hint="eastAsia" w:ascii="仿宋_GB2312" w:hAnsi="仿宋_GB2312" w:eastAsia="仿宋_GB2312" w:cs="仿宋_GB2312"/>
          <w:sz w:val="32"/>
          <w:szCs w:val="32"/>
          <w:highlight w:val="none"/>
          <w:lang w:val="en-US" w:eastAsia="zh-CN"/>
        </w:rPr>
        <w:t>3416</w:t>
      </w:r>
      <w:r>
        <w:rPr>
          <w:rFonts w:hint="eastAsia" w:ascii="仿宋_GB2312" w:hAnsi="仿宋_GB2312" w:eastAsia="仿宋_GB2312" w:cs="仿宋_GB2312"/>
          <w:sz w:val="32"/>
          <w:szCs w:val="32"/>
          <w:highlight w:val="none"/>
        </w:rPr>
        <w:t>万元，运转类（公用）支出</w:t>
      </w:r>
      <w:r>
        <w:rPr>
          <w:rFonts w:hint="eastAsia" w:ascii="仿宋_GB2312" w:hAnsi="仿宋_GB2312" w:eastAsia="仿宋_GB2312" w:cs="仿宋_GB2312"/>
          <w:sz w:val="32"/>
          <w:szCs w:val="32"/>
          <w:highlight w:val="none"/>
          <w:lang w:val="en-US" w:eastAsia="zh-CN"/>
        </w:rPr>
        <w:t>268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108224</w:t>
      </w:r>
      <w:r>
        <w:rPr>
          <w:rFonts w:hint="eastAsia" w:ascii="仿宋_GB2312" w:hAnsi="仿宋_GB2312" w:eastAsia="仿宋_GB2312" w:cs="仿宋_GB2312"/>
          <w:sz w:val="32"/>
          <w:szCs w:val="32"/>
          <w:highlight w:val="none"/>
          <w:lang w:val="en-US"/>
        </w:rPr>
        <w:t>万元</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ascii="楷体_GB2312" w:hAnsi="楷体_GB2312" w:eastAsia="楷体_GB2312" w:cs="楷体_GB2312"/>
          <w:b/>
          <w:bCs/>
          <w:sz w:val="32"/>
          <w:szCs w:val="32"/>
          <w:highlight w:val="none"/>
          <w:lang w:val="en-US"/>
        </w:rPr>
      </w:pPr>
      <w:r>
        <w:rPr>
          <w:rFonts w:hint="eastAsia" w:ascii="楷体_GB2312" w:hAnsi="楷体_GB2312" w:eastAsia="楷体_GB2312" w:cs="楷体_GB2312"/>
          <w:b/>
          <w:bCs/>
          <w:sz w:val="32"/>
          <w:szCs w:val="32"/>
          <w:highlight w:val="none"/>
          <w:lang w:val="en-US"/>
        </w:rPr>
        <w:t>（一）人员支出预算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人员支出预算安排</w:t>
      </w:r>
      <w:r>
        <w:rPr>
          <w:rFonts w:hint="eastAsia" w:ascii="仿宋_GB2312" w:hAnsi="仿宋_GB2312" w:eastAsia="仿宋_GB2312" w:cs="仿宋_GB2312"/>
          <w:sz w:val="32"/>
          <w:szCs w:val="32"/>
          <w:highlight w:val="none"/>
          <w:lang w:val="en-US" w:eastAsia="zh-CN"/>
        </w:rPr>
        <w:t>3416</w:t>
      </w:r>
      <w:r>
        <w:rPr>
          <w:rFonts w:hint="eastAsia" w:ascii="仿宋_GB2312" w:hAnsi="仿宋_GB2312" w:eastAsia="仿宋_GB2312" w:cs="仿宋_GB2312"/>
          <w:sz w:val="32"/>
          <w:szCs w:val="32"/>
          <w:highlight w:val="none"/>
          <w:lang w:val="en-US"/>
        </w:rPr>
        <w:t>万元，主要包括行政事业编制人员（含退休人员）及其他人员工资及福利支出，</w:t>
      </w:r>
      <w:r>
        <w:rPr>
          <w:rFonts w:hint="eastAsia" w:ascii="仿宋_GB2312" w:hAnsi="仿宋_GB2312" w:eastAsia="仿宋_GB2312" w:cs="仿宋_GB2312"/>
          <w:color w:val="000000"/>
          <w:sz w:val="32"/>
          <w:szCs w:val="32"/>
          <w:highlight w:val="none"/>
        </w:rPr>
        <w:t>工资福利支出和对个人家庭补助支出按照自治区及管委会工资福利政策据实安排。</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ascii="楷体_GB2312" w:hAnsi="楷体_GB2312" w:eastAsia="楷体_GB2312" w:cs="楷体_GB2312"/>
          <w:b/>
          <w:bCs/>
          <w:sz w:val="32"/>
          <w:szCs w:val="32"/>
          <w:highlight w:val="none"/>
          <w:lang w:val="en-US"/>
        </w:rPr>
      </w:pPr>
      <w:r>
        <w:rPr>
          <w:rFonts w:hint="eastAsia" w:ascii="楷体_GB2312" w:hAnsi="楷体_GB2312" w:eastAsia="楷体_GB2312" w:cs="楷体_GB2312"/>
          <w:b/>
          <w:bCs/>
          <w:sz w:val="32"/>
          <w:szCs w:val="32"/>
          <w:highlight w:val="none"/>
          <w:lang w:val="en-US"/>
        </w:rPr>
        <w:t>（二）运转类（公用）支出预算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运转类（公用）预算安排</w:t>
      </w:r>
      <w:r>
        <w:rPr>
          <w:rFonts w:hint="eastAsia" w:ascii="仿宋_GB2312" w:hAnsi="仿宋_GB2312" w:eastAsia="仿宋_GB2312" w:cs="仿宋_GB2312"/>
          <w:sz w:val="32"/>
          <w:szCs w:val="32"/>
          <w:highlight w:val="none"/>
          <w:lang w:val="en-US" w:eastAsia="zh-CN"/>
        </w:rPr>
        <w:t>268.18</w:t>
      </w:r>
      <w:r>
        <w:rPr>
          <w:rFonts w:hint="eastAsia" w:ascii="仿宋_GB2312" w:hAnsi="仿宋_GB2312" w:eastAsia="仿宋_GB2312" w:cs="仿宋_GB2312"/>
          <w:sz w:val="32"/>
          <w:szCs w:val="32"/>
          <w:highlight w:val="none"/>
          <w:lang w:val="en-US"/>
        </w:rPr>
        <w:t>万元，主要包括公用经费支出及公务车运行维护费等其他运转类支出，</w:t>
      </w:r>
      <w:r>
        <w:rPr>
          <w:rFonts w:hint="eastAsia" w:ascii="仿宋_GB2312" w:hAnsi="仿宋_GB2312" w:eastAsia="仿宋_GB2312" w:cs="仿宋_GB2312"/>
          <w:color w:val="000000"/>
          <w:sz w:val="32"/>
          <w:szCs w:val="32"/>
          <w:highlight w:val="none"/>
        </w:rPr>
        <w:t>公用经费支出按照单位性质分不同定额标准进行核定。</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highlight w:val="none"/>
          <w:lang w:val="en-US"/>
        </w:rPr>
        <w:t>1.公用经费</w:t>
      </w:r>
      <w:r>
        <w:rPr>
          <w:rFonts w:hint="eastAsia" w:ascii="仿宋_GB2312" w:hAnsi="仿宋_GB2312" w:eastAsia="仿宋_GB2312" w:cs="仿宋_GB2312"/>
          <w:sz w:val="32"/>
          <w:szCs w:val="32"/>
          <w:highlight w:val="none"/>
          <w:lang w:val="en-US"/>
        </w:rPr>
        <w:t>管委会本级</w:t>
      </w:r>
      <w:r>
        <w:rPr>
          <w:rFonts w:hint="eastAsia" w:ascii="仿宋_GB2312" w:hAnsi="仿宋_GB2312" w:eastAsia="仿宋_GB2312" w:cs="仿宋_GB2312"/>
          <w:sz w:val="32"/>
          <w:szCs w:val="32"/>
          <w:highlight w:val="none"/>
          <w:lang w:val="en-US" w:eastAsia="zh-CN"/>
        </w:rPr>
        <w:t>208.2</w:t>
      </w:r>
      <w:r>
        <w:rPr>
          <w:rFonts w:hint="eastAsia" w:ascii="仿宋_GB2312" w:hAnsi="仿宋_GB2312" w:eastAsia="仿宋_GB2312" w:cs="仿宋_GB2312"/>
          <w:sz w:val="32"/>
          <w:szCs w:val="32"/>
          <w:highlight w:val="none"/>
          <w:lang w:val="en-US"/>
        </w:rPr>
        <w:t>万元</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highlight w:val="none"/>
          <w:lang w:val="en-US"/>
        </w:rPr>
        <w:t>2.其他运转类支出</w:t>
      </w:r>
      <w:r>
        <w:rPr>
          <w:rFonts w:hint="eastAsia" w:ascii="仿宋_GB2312" w:hAnsi="仿宋_GB2312" w:eastAsia="仿宋_GB2312" w:cs="仿宋_GB2312"/>
          <w:b/>
          <w:bCs/>
          <w:sz w:val="32"/>
          <w:szCs w:val="32"/>
          <w:highlight w:val="none"/>
          <w:lang w:val="en-US" w:eastAsia="zh-CN"/>
        </w:rPr>
        <w:t>59.98</w:t>
      </w:r>
      <w:r>
        <w:rPr>
          <w:rFonts w:hint="eastAsia" w:ascii="仿宋_GB2312" w:hAnsi="仿宋_GB2312" w:eastAsia="仿宋_GB2312" w:cs="仿宋_GB2312"/>
          <w:b/>
          <w:bCs/>
          <w:sz w:val="32"/>
          <w:szCs w:val="32"/>
          <w:highlight w:val="none"/>
          <w:lang w:val="en-US"/>
        </w:rPr>
        <w:t>万元</w:t>
      </w:r>
      <w:r>
        <w:rPr>
          <w:rFonts w:hint="eastAsia" w:ascii="仿宋_GB2312" w:hAnsi="仿宋_GB2312" w:eastAsia="仿宋_GB2312" w:cs="仿宋_GB2312"/>
          <w:sz w:val="32"/>
          <w:szCs w:val="32"/>
          <w:highlight w:val="none"/>
          <w:lang w:val="en-US"/>
        </w:rPr>
        <w:t>。其中公务车运行维护费</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lang w:val="en-US"/>
        </w:rPr>
        <w:t>万元，工会经费</w:t>
      </w:r>
      <w:r>
        <w:rPr>
          <w:rFonts w:hint="eastAsia" w:ascii="仿宋_GB2312" w:hAnsi="仿宋_GB2312" w:eastAsia="仿宋_GB2312" w:cs="仿宋_GB2312"/>
          <w:sz w:val="32"/>
          <w:szCs w:val="32"/>
          <w:highlight w:val="none"/>
          <w:lang w:val="en-US" w:eastAsia="zh-CN"/>
        </w:rPr>
        <w:t>23.98</w:t>
      </w:r>
      <w:r>
        <w:rPr>
          <w:rFonts w:hint="eastAsia" w:ascii="仿宋_GB2312" w:hAnsi="仿宋_GB2312" w:eastAsia="仿宋_GB2312" w:cs="仿宋_GB2312"/>
          <w:sz w:val="32"/>
          <w:szCs w:val="32"/>
          <w:highlight w:val="none"/>
          <w:lang w:val="en-US"/>
        </w:rPr>
        <w:t>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sz w:val="32"/>
          <w:szCs w:val="32"/>
          <w:highlight w:val="none"/>
          <w:lang w:val="en-US"/>
        </w:rPr>
      </w:pPr>
      <w:r>
        <w:rPr>
          <w:rFonts w:hint="eastAsia" w:ascii="楷体_GB2312" w:hAnsi="楷体_GB2312" w:eastAsia="楷体_GB2312" w:cs="楷体_GB2312"/>
          <w:b/>
          <w:bCs/>
          <w:sz w:val="32"/>
          <w:szCs w:val="32"/>
          <w:highlight w:val="none"/>
          <w:lang w:val="en-US" w:eastAsia="zh-CN"/>
        </w:rPr>
        <w:t>项目</w:t>
      </w:r>
      <w:r>
        <w:rPr>
          <w:rFonts w:hint="eastAsia" w:ascii="楷体_GB2312" w:hAnsi="楷体_GB2312" w:eastAsia="楷体_GB2312" w:cs="楷体_GB2312"/>
          <w:b/>
          <w:bCs/>
          <w:sz w:val="32"/>
          <w:szCs w:val="32"/>
          <w:highlight w:val="none"/>
          <w:lang w:val="en-US"/>
        </w:rPr>
        <w:t>支出预算</w:t>
      </w:r>
      <w:r>
        <w:rPr>
          <w:rFonts w:hint="eastAsia" w:ascii="楷体_GB2312" w:hAnsi="楷体_GB2312" w:eastAsia="楷体_GB2312" w:cs="楷体_GB2312"/>
          <w:b/>
          <w:bCs/>
          <w:sz w:val="32"/>
          <w:szCs w:val="32"/>
          <w:highlight w:val="none"/>
          <w:lang w:val="en-US" w:eastAsia="zh-CN"/>
        </w:rPr>
        <w:t>。</w:t>
      </w:r>
      <w:r>
        <w:rPr>
          <w:rFonts w:hint="eastAsia" w:ascii="仿宋_GB2312" w:hAnsi="仿宋_GB2312" w:eastAsia="仿宋_GB2312" w:cs="仿宋_GB2312"/>
          <w:sz w:val="32"/>
          <w:szCs w:val="32"/>
          <w:highlight w:val="none"/>
          <w:lang w:val="en-US"/>
        </w:rPr>
        <w:t>项目支出安排</w:t>
      </w:r>
      <w:r>
        <w:rPr>
          <w:rFonts w:hint="eastAsia" w:ascii="仿宋_GB2312" w:hAnsi="仿宋_GB2312" w:eastAsia="仿宋_GB2312" w:cs="仿宋_GB2312"/>
          <w:sz w:val="32"/>
          <w:szCs w:val="32"/>
          <w:highlight w:val="none"/>
          <w:lang w:val="en-US" w:eastAsia="zh-CN"/>
        </w:rPr>
        <w:t>108224</w:t>
      </w:r>
      <w:r>
        <w:rPr>
          <w:rFonts w:hint="eastAsia" w:ascii="仿宋_GB2312" w:hAnsi="仿宋_GB2312" w:eastAsia="仿宋_GB2312" w:cs="仿宋_GB2312"/>
          <w:sz w:val="32"/>
          <w:szCs w:val="32"/>
          <w:highlight w:val="none"/>
          <w:lang w:val="en-US"/>
        </w:rPr>
        <w:t>万元，其中：一般公共预算本级安排</w:t>
      </w:r>
      <w:r>
        <w:rPr>
          <w:rFonts w:hint="eastAsia" w:ascii="仿宋_GB2312" w:hAnsi="仿宋_GB2312" w:eastAsia="仿宋_GB2312" w:cs="仿宋_GB2312"/>
          <w:sz w:val="32"/>
          <w:szCs w:val="32"/>
          <w:highlight w:val="none"/>
          <w:lang w:val="en-US" w:eastAsia="zh-CN"/>
        </w:rPr>
        <w:t>108224</w:t>
      </w:r>
      <w:r>
        <w:rPr>
          <w:rFonts w:hint="eastAsia" w:ascii="仿宋_GB2312" w:hAnsi="仿宋_GB2312" w:eastAsia="仿宋_GB2312" w:cs="仿宋_GB2312"/>
          <w:sz w:val="32"/>
          <w:szCs w:val="32"/>
          <w:highlight w:val="none"/>
          <w:lang w:val="en-US"/>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派出宁东基地纪检监察工委</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万元，安排了构建亲清政商关系、优化营商环境社会化监督体系了谈话室和案情分析室改造费用。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办公室（审计办）</w:t>
      </w:r>
      <w:r>
        <w:rPr>
          <w:rFonts w:hint="eastAsia" w:ascii="仿宋_GB2312" w:hAnsi="仿宋_GB2312" w:eastAsia="仿宋_GB2312" w:cs="仿宋_GB2312"/>
          <w:sz w:val="32"/>
          <w:szCs w:val="32"/>
          <w:lang w:val="en-US" w:eastAsia="zh-CN"/>
        </w:rPr>
        <w:t>3137</w:t>
      </w:r>
      <w:r>
        <w:rPr>
          <w:rFonts w:hint="eastAsia" w:ascii="仿宋_GB2312" w:hAnsi="仿宋_GB2312" w:eastAsia="仿宋_GB2312" w:cs="仿宋_GB2312"/>
          <w:sz w:val="32"/>
          <w:szCs w:val="32"/>
        </w:rPr>
        <w:t>万元，安排了会务服务费、宣传费、法律服务费、内部审计和档案馆等费用等。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党群工作部</w:t>
      </w:r>
      <w:r>
        <w:rPr>
          <w:rFonts w:hint="eastAsia" w:ascii="仿宋_GB2312" w:hAnsi="仿宋_GB2312" w:eastAsia="仿宋_GB2312" w:cs="仿宋_GB2312"/>
          <w:sz w:val="32"/>
          <w:szCs w:val="32"/>
          <w:lang w:val="en-US" w:eastAsia="zh-CN"/>
        </w:rPr>
        <w:t>824</w:t>
      </w:r>
      <w:r>
        <w:rPr>
          <w:rFonts w:hint="eastAsia" w:ascii="仿宋_GB2312" w:hAnsi="仿宋_GB2312" w:eastAsia="仿宋_GB2312" w:cs="仿宋_GB2312"/>
          <w:sz w:val="32"/>
          <w:szCs w:val="32"/>
        </w:rPr>
        <w:t>万元，安排了党建工作经费、党务培训费及红色教育、群团工作经费和机关工会工作经费等。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经济发展局（统计局）</w:t>
      </w:r>
      <w:r>
        <w:rPr>
          <w:rFonts w:hint="eastAsia" w:ascii="仿宋_GB2312" w:hAnsi="仿宋_GB2312" w:eastAsia="仿宋_GB2312" w:cs="仿宋_GB2312"/>
          <w:sz w:val="32"/>
          <w:szCs w:val="32"/>
          <w:lang w:val="en-US" w:eastAsia="zh-CN"/>
        </w:rPr>
        <w:t>23731</w:t>
      </w:r>
      <w:r>
        <w:rPr>
          <w:rFonts w:hint="eastAsia" w:ascii="仿宋_GB2312" w:hAnsi="仿宋_GB2312" w:eastAsia="仿宋_GB2312" w:cs="仿宋_GB2312"/>
          <w:sz w:val="32"/>
          <w:szCs w:val="32"/>
        </w:rPr>
        <w:t>万元，安排了项目前期费用、经济发展工作专项、节能降碳工作经费和经济普查等费用。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财政金融局</w:t>
      </w:r>
      <w:r>
        <w:rPr>
          <w:rFonts w:hint="eastAsia" w:ascii="仿宋_GB2312" w:hAnsi="仿宋_GB2312" w:eastAsia="仿宋_GB2312" w:cs="仿宋_GB2312"/>
          <w:sz w:val="32"/>
          <w:szCs w:val="32"/>
          <w:lang w:val="en-US" w:eastAsia="zh-CN"/>
        </w:rPr>
        <w:t>255</w:t>
      </w:r>
      <w:r>
        <w:rPr>
          <w:rFonts w:hint="eastAsia" w:ascii="仿宋_GB2312" w:hAnsi="仿宋_GB2312" w:eastAsia="仿宋_GB2312" w:cs="仿宋_GB2312"/>
          <w:sz w:val="32"/>
          <w:szCs w:val="32"/>
        </w:rPr>
        <w:t>万元，安排了财政金融工作经费、资产清查工作经费和预算绩效评价经费等。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人力资源局</w:t>
      </w:r>
      <w:r>
        <w:rPr>
          <w:rFonts w:hint="eastAsia" w:ascii="仿宋_GB2312" w:hAnsi="仿宋_GB2312" w:eastAsia="仿宋_GB2312" w:cs="仿宋_GB2312"/>
          <w:sz w:val="32"/>
          <w:szCs w:val="32"/>
          <w:lang w:val="en-US" w:eastAsia="zh-CN"/>
        </w:rPr>
        <w:t>5794</w:t>
      </w:r>
      <w:r>
        <w:rPr>
          <w:rFonts w:hint="eastAsia" w:ascii="仿宋_GB2312" w:hAnsi="仿宋_GB2312" w:eastAsia="仿宋_GB2312" w:cs="仿宋_GB2312"/>
          <w:sz w:val="32"/>
          <w:szCs w:val="32"/>
        </w:rPr>
        <w:t>万元，安排了三支一扶人员经费、干部培训费和招录工作人员经费等费用。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自然资源局</w:t>
      </w:r>
      <w:r>
        <w:rPr>
          <w:rFonts w:hint="eastAsia" w:ascii="仿宋_GB2312" w:hAnsi="仿宋_GB2312" w:eastAsia="仿宋_GB2312" w:cs="仿宋_GB2312"/>
          <w:sz w:val="32"/>
          <w:szCs w:val="32"/>
          <w:lang w:val="en-US" w:eastAsia="zh-CN"/>
        </w:rPr>
        <w:t>2818</w:t>
      </w:r>
      <w:r>
        <w:rPr>
          <w:rFonts w:hint="eastAsia" w:ascii="仿宋_GB2312" w:hAnsi="仿宋_GB2312" w:eastAsia="仿宋_GB2312" w:cs="仿宋_GB2312"/>
          <w:sz w:val="32"/>
          <w:szCs w:val="32"/>
        </w:rPr>
        <w:t>万元，安排了宁东基地自然资源评价评估工作政府采购服务项目、宁东基地工业用地开发利用情况调查、开发区土地集约利用监测及相关数据库建设项目和河长制、林长制工作经费等费用。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生态环境局</w:t>
      </w:r>
      <w:r>
        <w:rPr>
          <w:rFonts w:hint="eastAsia" w:ascii="仿宋_GB2312" w:hAnsi="仿宋_GB2312" w:eastAsia="仿宋_GB2312" w:cs="仿宋_GB2312"/>
          <w:sz w:val="32"/>
          <w:szCs w:val="32"/>
          <w:lang w:val="en-US" w:eastAsia="zh-CN"/>
        </w:rPr>
        <w:t>11474</w:t>
      </w:r>
      <w:r>
        <w:rPr>
          <w:rFonts w:hint="eastAsia" w:ascii="仿宋_GB2312" w:hAnsi="仿宋_GB2312" w:eastAsia="仿宋_GB2312" w:cs="仿宋_GB2312"/>
          <w:sz w:val="32"/>
          <w:szCs w:val="32"/>
        </w:rPr>
        <w:t>万元，安排了环保工作经费、环保应急处置费用共和大气污染源排放清单编制等费用。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建设和交通局</w:t>
      </w:r>
      <w:r>
        <w:rPr>
          <w:rFonts w:hint="eastAsia" w:ascii="仿宋_GB2312" w:hAnsi="仿宋_GB2312" w:eastAsia="仿宋_GB2312" w:cs="仿宋_GB2312"/>
          <w:sz w:val="32"/>
          <w:szCs w:val="32"/>
          <w:lang w:val="en-US" w:eastAsia="zh-CN"/>
        </w:rPr>
        <w:t>19157</w:t>
      </w:r>
      <w:r>
        <w:rPr>
          <w:rFonts w:hint="eastAsia" w:ascii="仿宋_GB2312" w:hAnsi="仿宋_GB2312" w:eastAsia="仿宋_GB2312" w:cs="仿宋_GB2312"/>
          <w:sz w:val="32"/>
          <w:szCs w:val="32"/>
        </w:rPr>
        <w:t>万元，安排了公共设施、社保维修维护费用、建设工程质量检测和安装等服务费等费用。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招商局3</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万元，安排招商引资工作经费和委托业务、招商宣传经费。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6949</w:t>
      </w:r>
      <w:r>
        <w:rPr>
          <w:rFonts w:hint="eastAsia" w:ascii="仿宋_GB2312" w:hAnsi="仿宋_GB2312" w:eastAsia="仿宋_GB2312" w:cs="仿宋_GB2312"/>
          <w:sz w:val="32"/>
          <w:szCs w:val="32"/>
        </w:rPr>
        <w:t>万元，安排了安全工作经费、应急通信设备采购及维护保养和安全生产标准化达标评审验收和奖励费用等。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科技和信息化局</w:t>
      </w:r>
      <w:r>
        <w:rPr>
          <w:rFonts w:hint="eastAsia" w:ascii="仿宋_GB2312" w:hAnsi="仿宋_GB2312" w:eastAsia="仿宋_GB2312" w:cs="仿宋_GB2312"/>
          <w:sz w:val="32"/>
          <w:szCs w:val="32"/>
          <w:lang w:val="en-US" w:eastAsia="zh-CN"/>
        </w:rPr>
        <w:t>32223</w:t>
      </w:r>
      <w:r>
        <w:rPr>
          <w:rFonts w:hint="eastAsia" w:ascii="仿宋_GB2312" w:hAnsi="仿宋_GB2312" w:eastAsia="仿宋_GB2312" w:cs="仿宋_GB2312"/>
          <w:sz w:val="32"/>
          <w:szCs w:val="32"/>
        </w:rPr>
        <w:t>万元，安排了科技工作专项经费、信息化工作经费和网络安全专项费用等。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社会事务局</w:t>
      </w:r>
      <w:r>
        <w:rPr>
          <w:rFonts w:hint="eastAsia" w:ascii="仿宋_GB2312" w:hAnsi="仿宋_GB2312" w:eastAsia="仿宋_GB2312" w:cs="仿宋_GB2312"/>
          <w:sz w:val="32"/>
          <w:szCs w:val="32"/>
          <w:lang w:val="en-US" w:eastAsia="zh-CN"/>
        </w:rPr>
        <w:t>1401</w:t>
      </w:r>
      <w:r>
        <w:rPr>
          <w:rFonts w:hint="eastAsia" w:ascii="仿宋_GB2312" w:hAnsi="仿宋_GB2312" w:eastAsia="仿宋_GB2312" w:cs="仿宋_GB2312"/>
          <w:sz w:val="32"/>
          <w:szCs w:val="32"/>
        </w:rPr>
        <w:t>万元，安排了慰问费、驻村帮扶工作经费和社会管理综合治理经费等费用。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sz w:val="50"/>
          <w:highlight w:val="none"/>
        </w:rPr>
      </w:pPr>
      <w:r>
        <w:rPr>
          <w:rFonts w:hint="eastAsia" w:ascii="仿宋_GB2312" w:hAnsi="仿宋_GB2312" w:eastAsia="仿宋_GB2312" w:cs="仿宋_GB2312"/>
          <w:sz w:val="32"/>
          <w:szCs w:val="32"/>
        </w:rPr>
        <w:t>建设工程质量监督站</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万元，安排了建设工程质量监督工作经费。</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ascii="黑体" w:eastAsia="黑体"/>
          <w:b w:val="0"/>
          <w:bCs w:val="0"/>
          <w:sz w:val="32"/>
          <w:szCs w:val="32"/>
          <w:highlight w:val="none"/>
        </w:rPr>
      </w:pPr>
      <w:r>
        <w:rPr>
          <w:rFonts w:hint="eastAsia" w:ascii="黑体" w:eastAsia="黑体"/>
          <w:b w:val="0"/>
          <w:bCs w:val="0"/>
          <w:sz w:val="32"/>
          <w:szCs w:val="32"/>
          <w:highlight w:val="none"/>
        </w:rPr>
        <w:t>三、关于2</w:t>
      </w:r>
      <w:r>
        <w:rPr>
          <w:rFonts w:hint="eastAsia" w:ascii="黑体" w:eastAsia="黑体"/>
          <w:b w:val="0"/>
          <w:bCs w:val="0"/>
          <w:sz w:val="32"/>
          <w:szCs w:val="32"/>
          <w:highlight w:val="none"/>
          <w:lang w:val="en-US"/>
        </w:rPr>
        <w:t>02</w:t>
      </w:r>
      <w:r>
        <w:rPr>
          <w:rFonts w:hint="eastAsia" w:ascii="黑体" w:eastAsia="黑体"/>
          <w:b w:val="0"/>
          <w:bCs w:val="0"/>
          <w:sz w:val="32"/>
          <w:szCs w:val="32"/>
          <w:highlight w:val="none"/>
          <w:lang w:val="en-US" w:eastAsia="zh-CN"/>
        </w:rPr>
        <w:t>5</w:t>
      </w:r>
      <w:r>
        <w:rPr>
          <w:rFonts w:hint="eastAsia" w:ascii="黑体" w:eastAsia="黑体"/>
          <w:b w:val="0"/>
          <w:bCs w:val="0"/>
          <w:sz w:val="32"/>
          <w:szCs w:val="32"/>
          <w:highlight w:val="none"/>
        </w:rPr>
        <w:t>年一般公共预算财政拨款“三公”经费预算情况说明</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宁东管委会（本级）202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年“三公”经费财政拨款预算数为</w:t>
      </w:r>
      <w:r>
        <w:rPr>
          <w:rFonts w:hint="eastAsia" w:ascii="仿宋_GB2312" w:eastAsia="仿宋_GB2312"/>
          <w:sz w:val="32"/>
          <w:szCs w:val="32"/>
          <w:highlight w:val="none"/>
          <w:lang w:val="en-US" w:eastAsia="zh-CN"/>
        </w:rPr>
        <w:t>75.76</w:t>
      </w:r>
      <w:r>
        <w:rPr>
          <w:rFonts w:hint="eastAsia" w:ascii="仿宋_GB2312" w:eastAsia="仿宋_GB2312"/>
          <w:sz w:val="32"/>
          <w:szCs w:val="32"/>
          <w:highlight w:val="none"/>
        </w:rPr>
        <w:t>万元，其中：因公出国（境）费</w:t>
      </w:r>
      <w:r>
        <w:rPr>
          <w:rFonts w:hint="eastAsia" w:ascii="仿宋_GB2312" w:eastAsia="仿宋_GB2312"/>
          <w:sz w:val="32"/>
          <w:szCs w:val="32"/>
          <w:highlight w:val="none"/>
          <w:lang w:val="en-US" w:eastAsia="zh-CN"/>
        </w:rPr>
        <w:t>10万元、</w:t>
      </w:r>
      <w:r>
        <w:rPr>
          <w:rFonts w:hint="eastAsia" w:ascii="仿宋_GB2312" w:eastAsia="仿宋_GB2312"/>
          <w:sz w:val="32"/>
          <w:szCs w:val="32"/>
          <w:highlight w:val="none"/>
        </w:rPr>
        <w:t>公务用车购置</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万元，公务用车运行费</w:t>
      </w:r>
      <w:r>
        <w:rPr>
          <w:rFonts w:hint="eastAsia" w:ascii="仿宋_GB2312" w:eastAsia="仿宋_GB2312"/>
          <w:sz w:val="32"/>
          <w:szCs w:val="32"/>
          <w:highlight w:val="none"/>
          <w:lang w:val="en-US"/>
        </w:rPr>
        <w:t>36</w:t>
      </w:r>
      <w:r>
        <w:rPr>
          <w:rFonts w:hint="eastAsia" w:ascii="仿宋_GB2312" w:eastAsia="仿宋_GB2312"/>
          <w:sz w:val="32"/>
          <w:szCs w:val="32"/>
          <w:highlight w:val="none"/>
        </w:rPr>
        <w:t>万元，公务接待费</w:t>
      </w:r>
      <w:r>
        <w:rPr>
          <w:rFonts w:hint="eastAsia" w:ascii="仿宋_GB2312" w:eastAsia="仿宋_GB2312"/>
          <w:sz w:val="32"/>
          <w:szCs w:val="32"/>
          <w:highlight w:val="none"/>
          <w:lang w:val="en-US" w:eastAsia="zh-CN"/>
        </w:rPr>
        <w:t>8.76</w:t>
      </w:r>
      <w:r>
        <w:rPr>
          <w:rFonts w:hint="eastAsia" w:ascii="仿宋_GB2312" w:eastAsia="仿宋_GB2312"/>
          <w:sz w:val="32"/>
          <w:szCs w:val="32"/>
          <w:highlight w:val="none"/>
        </w:rPr>
        <w:t>万元。</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eastAsia" w:ascii="黑体" w:eastAsia="黑体"/>
          <w:b w:val="0"/>
          <w:bCs w:val="0"/>
          <w:sz w:val="32"/>
          <w:szCs w:val="32"/>
          <w:highlight w:val="none"/>
        </w:rPr>
      </w:pPr>
      <w:r>
        <w:rPr>
          <w:rFonts w:hint="eastAsia" w:ascii="黑体" w:eastAsia="黑体"/>
          <w:b w:val="0"/>
          <w:bCs w:val="0"/>
          <w:sz w:val="32"/>
          <w:szCs w:val="32"/>
          <w:highlight w:val="none"/>
          <w:lang w:eastAsia="zh-CN"/>
        </w:rPr>
        <w:t>四、</w:t>
      </w:r>
      <w:r>
        <w:rPr>
          <w:rFonts w:hint="eastAsia" w:ascii="黑体" w:eastAsia="黑体"/>
          <w:b w:val="0"/>
          <w:bCs w:val="0"/>
          <w:sz w:val="32"/>
          <w:szCs w:val="32"/>
          <w:highlight w:val="none"/>
        </w:rPr>
        <w:t>关于202</w:t>
      </w:r>
      <w:r>
        <w:rPr>
          <w:rFonts w:hint="eastAsia" w:ascii="黑体" w:eastAsia="黑体"/>
          <w:b w:val="0"/>
          <w:bCs w:val="0"/>
          <w:sz w:val="32"/>
          <w:szCs w:val="32"/>
          <w:highlight w:val="none"/>
          <w:lang w:val="en-US" w:eastAsia="zh-CN"/>
        </w:rPr>
        <w:t>5</w:t>
      </w:r>
      <w:r>
        <w:rPr>
          <w:rFonts w:hint="eastAsia" w:ascii="黑体" w:eastAsia="黑体"/>
          <w:b w:val="0"/>
          <w:bCs w:val="0"/>
          <w:sz w:val="32"/>
          <w:szCs w:val="32"/>
          <w:highlight w:val="none"/>
        </w:rPr>
        <w:t>年政府性基金预算拨款情况说明</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eastAsia"/>
          <w:lang w:val="en-US" w:eastAsia="zh-CN"/>
        </w:rPr>
      </w:pPr>
      <w:r>
        <w:rPr>
          <w:rFonts w:hint="eastAsia" w:ascii="仿宋_GB2312" w:hAnsi="宋体" w:eastAsia="仿宋_GB2312" w:cs="宋体"/>
          <w:sz w:val="32"/>
          <w:szCs w:val="32"/>
          <w:highlight w:val="none"/>
          <w:lang w:eastAsia="zh-CN"/>
        </w:rPr>
        <w:t>宁东管委会本级</w:t>
      </w:r>
      <w:r>
        <w:rPr>
          <w:rFonts w:hint="eastAsia" w:ascii="仿宋_GB2312" w:hAnsi="宋体" w:eastAsia="仿宋_GB2312" w:cs="宋体"/>
          <w:sz w:val="32"/>
          <w:szCs w:val="32"/>
          <w:highlight w:val="none"/>
        </w:rPr>
        <w:t>202</w:t>
      </w:r>
      <w:r>
        <w:rPr>
          <w:rFonts w:hint="eastAsia" w:ascii="仿宋_GB2312" w:eastAsia="仿宋_GB2312" w:cs="宋体"/>
          <w:sz w:val="32"/>
          <w:szCs w:val="32"/>
          <w:highlight w:val="none"/>
          <w:lang w:val="en-US" w:eastAsia="zh-CN"/>
        </w:rPr>
        <w:t>5</w:t>
      </w:r>
      <w:r>
        <w:rPr>
          <w:rFonts w:hint="eastAsia" w:ascii="仿宋_GB2312" w:hAnsi="宋体" w:eastAsia="仿宋_GB2312" w:cs="宋体"/>
          <w:sz w:val="32"/>
          <w:szCs w:val="32"/>
          <w:highlight w:val="none"/>
        </w:rPr>
        <w:t>年政府性基金预算收入</w:t>
      </w:r>
      <w:r>
        <w:rPr>
          <w:rFonts w:hint="eastAsia" w:ascii="仿宋_GB2312" w:eastAsia="仿宋_GB2312" w:cs="宋体"/>
          <w:sz w:val="32"/>
          <w:szCs w:val="32"/>
          <w:highlight w:val="none"/>
          <w:lang w:val="en-US" w:eastAsia="zh-CN"/>
        </w:rPr>
        <w:t>329</w:t>
      </w:r>
      <w:r>
        <w:rPr>
          <w:rFonts w:hint="eastAsia" w:ascii="仿宋_GB2312" w:hAnsi="宋体" w:eastAsia="仿宋_GB2312" w:cs="宋体"/>
          <w:sz w:val="32"/>
          <w:szCs w:val="32"/>
          <w:highlight w:val="none"/>
        </w:rPr>
        <w:t>万元，支出</w:t>
      </w:r>
      <w:r>
        <w:rPr>
          <w:rFonts w:hint="eastAsia" w:ascii="仿宋_GB2312" w:eastAsia="仿宋_GB2312" w:cs="宋体"/>
          <w:sz w:val="32"/>
          <w:szCs w:val="32"/>
          <w:highlight w:val="none"/>
          <w:lang w:val="en-US" w:eastAsia="zh-CN"/>
        </w:rPr>
        <w:t>329</w:t>
      </w:r>
      <w:r>
        <w:rPr>
          <w:rFonts w:hint="eastAsia" w:ascii="仿宋_GB2312" w:hAnsi="宋体" w:eastAsia="仿宋_GB2312" w:cs="宋体"/>
          <w:sz w:val="32"/>
          <w:szCs w:val="32"/>
          <w:highlight w:val="none"/>
        </w:rPr>
        <w:t>万元，主要用于征地拆迁、乡村振兴等支出</w:t>
      </w:r>
      <w:r>
        <w:rPr>
          <w:rFonts w:hint="eastAsia" w:ascii="仿宋_GB2312" w:hAnsi="宋体" w:eastAsia="仿宋_GB2312" w:cs="宋体"/>
          <w:sz w:val="32"/>
          <w:szCs w:val="32"/>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eastAsia" w:ascii="黑体" w:hAnsi="宋体" w:eastAsia="黑体" w:cs="宋体"/>
          <w:b w:val="0"/>
          <w:bCs w:val="0"/>
          <w:sz w:val="32"/>
          <w:szCs w:val="32"/>
          <w:highlight w:val="none"/>
        </w:rPr>
      </w:pPr>
      <w:r>
        <w:rPr>
          <w:rFonts w:hint="eastAsia" w:ascii="黑体" w:hAnsi="宋体" w:eastAsia="黑体" w:cs="宋体"/>
          <w:b w:val="0"/>
          <w:bCs w:val="0"/>
          <w:sz w:val="32"/>
          <w:szCs w:val="32"/>
          <w:highlight w:val="none"/>
        </w:rPr>
        <w:t>五、关于202</w:t>
      </w:r>
      <w:r>
        <w:rPr>
          <w:rFonts w:hint="eastAsia" w:ascii="黑体" w:eastAsia="黑体" w:cs="宋体"/>
          <w:b w:val="0"/>
          <w:bCs w:val="0"/>
          <w:sz w:val="32"/>
          <w:szCs w:val="32"/>
          <w:highlight w:val="none"/>
          <w:lang w:val="en-US" w:eastAsia="zh-CN"/>
        </w:rPr>
        <w:t>5</w:t>
      </w:r>
      <w:r>
        <w:rPr>
          <w:rFonts w:hint="eastAsia" w:ascii="黑体" w:hAnsi="宋体" w:eastAsia="黑体" w:cs="宋体"/>
          <w:b w:val="0"/>
          <w:bCs w:val="0"/>
          <w:sz w:val="32"/>
          <w:szCs w:val="32"/>
          <w:highlight w:val="none"/>
        </w:rPr>
        <w:t>年收支预算情况的总体说明</w:t>
      </w:r>
    </w:p>
    <w:p>
      <w:pPr>
        <w:keepNext w:val="0"/>
        <w:keepLines w:val="0"/>
        <w:pageBreakBefore w:val="0"/>
        <w:widowControl/>
        <w:kinsoku/>
        <w:wordWrap/>
        <w:overflowPunct/>
        <w:topLinePunct w:val="0"/>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宁东管委会（本级）202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年收入总预算</w:t>
      </w:r>
      <w:r>
        <w:rPr>
          <w:rFonts w:hint="eastAsia" w:ascii="仿宋_GB2312" w:eastAsia="仿宋_GB2312"/>
          <w:sz w:val="32"/>
          <w:szCs w:val="32"/>
          <w:highlight w:val="none"/>
          <w:lang w:val="en-US" w:eastAsia="zh-CN"/>
        </w:rPr>
        <w:t>112238</w:t>
      </w:r>
      <w:r>
        <w:rPr>
          <w:rFonts w:hint="eastAsia" w:ascii="仿宋_GB2312" w:eastAsia="仿宋_GB2312"/>
          <w:sz w:val="32"/>
          <w:szCs w:val="32"/>
          <w:highlight w:val="none"/>
        </w:rPr>
        <w:t>万元，其中：本年收入</w:t>
      </w:r>
      <w:r>
        <w:rPr>
          <w:rFonts w:hint="eastAsia" w:ascii="仿宋_GB2312" w:eastAsia="仿宋_GB2312"/>
          <w:sz w:val="32"/>
          <w:szCs w:val="32"/>
          <w:highlight w:val="none"/>
          <w:lang w:val="en-US" w:eastAsia="zh-CN"/>
        </w:rPr>
        <w:t>112238</w:t>
      </w:r>
      <w:r>
        <w:rPr>
          <w:rFonts w:hint="eastAsia" w:ascii="仿宋_GB2312" w:eastAsia="仿宋_GB2312"/>
          <w:sz w:val="32"/>
          <w:szCs w:val="32"/>
          <w:highlight w:val="none"/>
        </w:rPr>
        <w:t>万元，年末结转结余0万元；支出总预算</w:t>
      </w:r>
      <w:r>
        <w:rPr>
          <w:rFonts w:hint="eastAsia" w:ascii="仿宋_GB2312" w:eastAsia="仿宋_GB2312"/>
          <w:sz w:val="32"/>
          <w:szCs w:val="32"/>
          <w:highlight w:val="none"/>
          <w:lang w:val="en-US" w:eastAsia="zh-CN"/>
        </w:rPr>
        <w:t>112238</w:t>
      </w:r>
      <w:r>
        <w:rPr>
          <w:rFonts w:hint="eastAsia" w:ascii="仿宋_GB2312" w:eastAsia="仿宋_GB2312"/>
          <w:sz w:val="32"/>
          <w:szCs w:val="32"/>
          <w:highlight w:val="none"/>
        </w:rPr>
        <w:t>万元，其中：本年支出</w:t>
      </w:r>
      <w:r>
        <w:rPr>
          <w:rFonts w:hint="eastAsia" w:ascii="仿宋_GB2312" w:eastAsia="仿宋_GB2312"/>
          <w:sz w:val="32"/>
          <w:szCs w:val="32"/>
          <w:highlight w:val="none"/>
          <w:lang w:val="en-US" w:eastAsia="zh-CN"/>
        </w:rPr>
        <w:t>112238</w:t>
      </w:r>
      <w:r>
        <w:rPr>
          <w:rFonts w:hint="eastAsia" w:ascii="仿宋_GB2312" w:eastAsia="仿宋_GB2312"/>
          <w:sz w:val="32"/>
          <w:szCs w:val="32"/>
          <w:highlight w:val="none"/>
        </w:rPr>
        <w:t>万元，年末结转结余0万元。</w:t>
      </w:r>
    </w:p>
    <w:p>
      <w:pPr>
        <w:keepNext w:val="0"/>
        <w:keepLines w:val="0"/>
        <w:pageBreakBefore w:val="0"/>
        <w:widowControl/>
        <w:kinsoku/>
        <w:wordWrap/>
        <w:overflowPunct/>
        <w:topLinePunct w:val="0"/>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本年收入包括：财政拨款预算收入</w:t>
      </w:r>
      <w:r>
        <w:rPr>
          <w:rFonts w:hint="eastAsia" w:ascii="仿宋_GB2312" w:eastAsia="仿宋_GB2312"/>
          <w:sz w:val="32"/>
          <w:szCs w:val="32"/>
          <w:highlight w:val="none"/>
          <w:lang w:val="en-US" w:eastAsia="zh-CN"/>
        </w:rPr>
        <w:t>111909</w:t>
      </w:r>
      <w:r>
        <w:rPr>
          <w:rFonts w:hint="eastAsia" w:ascii="仿宋_GB2312" w:eastAsia="仿宋_GB2312"/>
          <w:sz w:val="32"/>
          <w:szCs w:val="32"/>
          <w:highlight w:val="none"/>
        </w:rPr>
        <w:t>万元，占100%；事业预算收入0万元，占0%；上级补助预算收入0万元，占0%；附属单位上缴预算收入0万元，占0%；经营预算收入0万元，占0%；债务预算收入0万元，占0%；非同级财政拨款预算收入0万元，占0%；投资预算收益0万元，占0%；其他预算收入0万元，占0%。</w:t>
      </w:r>
    </w:p>
    <w:p>
      <w:pPr>
        <w:keepNext w:val="0"/>
        <w:keepLines w:val="0"/>
        <w:pageBreakBefore w:val="0"/>
        <w:widowControl/>
        <w:kinsoku/>
        <w:wordWrap/>
        <w:overflowPunct/>
        <w:topLinePunct w:val="0"/>
        <w:bidi w:val="0"/>
        <w:adjustRightInd/>
        <w:snapToGrid/>
        <w:spacing w:line="560" w:lineRule="exact"/>
        <w:ind w:left="187" w:leftChars="85" w:firstLine="361" w:firstLineChars="113"/>
        <w:jc w:val="both"/>
        <w:textAlignment w:val="auto"/>
        <w:rPr>
          <w:rFonts w:ascii="仿宋_GB2312" w:eastAsia="仿宋_GB2312"/>
          <w:sz w:val="32"/>
          <w:szCs w:val="32"/>
          <w:highlight w:val="none"/>
        </w:rPr>
      </w:pPr>
      <w:r>
        <w:rPr>
          <w:rFonts w:hint="eastAsia" w:ascii="仿宋_GB2312" w:eastAsia="仿宋_GB2312"/>
          <w:sz w:val="32"/>
          <w:szCs w:val="32"/>
          <w:highlight w:val="none"/>
        </w:rPr>
        <w:t>本年支出包括：行政支出</w:t>
      </w:r>
      <w:r>
        <w:rPr>
          <w:rFonts w:hint="eastAsia" w:ascii="仿宋_GB2312" w:eastAsia="仿宋_GB2312"/>
          <w:sz w:val="32"/>
          <w:szCs w:val="32"/>
          <w:highlight w:val="none"/>
          <w:lang w:val="en-US" w:eastAsia="zh-CN"/>
        </w:rPr>
        <w:t>112222</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99.98</w:t>
      </w:r>
      <w:r>
        <w:rPr>
          <w:rFonts w:hint="eastAsia" w:ascii="仿宋_GB2312" w:eastAsia="仿宋_GB2312"/>
          <w:sz w:val="32"/>
          <w:szCs w:val="32"/>
          <w:highlight w:val="none"/>
        </w:rPr>
        <w:t>%；事业支出</w:t>
      </w:r>
      <w:r>
        <w:rPr>
          <w:rFonts w:hint="eastAsia" w:ascii="仿宋_GB2312" w:eastAsia="仿宋_GB2312"/>
          <w:sz w:val="32"/>
          <w:szCs w:val="32"/>
          <w:highlight w:val="none"/>
          <w:lang w:val="en-US" w:eastAsia="zh-CN"/>
        </w:rPr>
        <w:t>15.35</w:t>
      </w:r>
      <w:r>
        <w:rPr>
          <w:rFonts w:hint="eastAsia" w:ascii="仿宋_GB2312" w:eastAsia="仿宋_GB2312"/>
          <w:sz w:val="32"/>
          <w:szCs w:val="32"/>
          <w:highlight w:val="none"/>
        </w:rPr>
        <w:t>万元，占0</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%；经营支出0万元，占0%；上缴上级支出0万元，占0%；对附属单位补助支出0万元，占0%；投资支出0万元，占0%；债务还本支出0万元，占0%；其他支出0万元，占0%。</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eastAsia" w:ascii="黑体" w:hAnsi="宋体" w:eastAsia="黑体" w:cs="宋体"/>
          <w:b w:val="0"/>
          <w:bCs w:val="0"/>
          <w:sz w:val="32"/>
          <w:szCs w:val="32"/>
          <w:highlight w:val="none"/>
        </w:rPr>
      </w:pPr>
      <w:r>
        <w:rPr>
          <w:rFonts w:hint="eastAsia" w:ascii="黑体" w:hAnsi="宋体" w:eastAsia="黑体" w:cs="宋体"/>
          <w:b w:val="0"/>
          <w:bCs w:val="0"/>
          <w:sz w:val="32"/>
          <w:szCs w:val="32"/>
          <w:highlight w:val="none"/>
        </w:rPr>
        <w:t>六、其他重要事项的情况说明</w:t>
      </w:r>
    </w:p>
    <w:p>
      <w:pPr>
        <w:keepNext w:val="0"/>
        <w:keepLines w:val="0"/>
        <w:pageBreakBefore w:val="0"/>
        <w:widowControl/>
        <w:kinsoku/>
        <w:wordWrap/>
        <w:overflowPunct/>
        <w:topLinePunct w:val="0"/>
        <w:bidi w:val="0"/>
        <w:adjustRightInd/>
        <w:snapToGrid/>
        <w:spacing w:line="560" w:lineRule="exact"/>
        <w:ind w:firstLine="480"/>
        <w:textAlignment w:val="auto"/>
        <w:rPr>
          <w:rFonts w:hint="eastAsia" w:ascii="仿宋_GB2312" w:eastAsia="仿宋_GB2312"/>
          <w:sz w:val="32"/>
          <w:szCs w:val="32"/>
          <w:lang w:val="en-US"/>
        </w:rPr>
      </w:pPr>
      <w:r>
        <w:rPr>
          <w:rFonts w:hint="eastAsia" w:ascii="仿宋_GB2312" w:eastAsia="仿宋_GB2312"/>
          <w:sz w:val="32"/>
          <w:szCs w:val="32"/>
          <w:lang w:val="en-US"/>
        </w:rPr>
        <w:t>（</w:t>
      </w:r>
      <w:r>
        <w:rPr>
          <w:rFonts w:hint="eastAsia" w:ascii="仿宋_GB2312" w:eastAsia="仿宋_GB2312"/>
          <w:sz w:val="32"/>
          <w:szCs w:val="32"/>
          <w:lang w:val="en-US" w:eastAsia="zh-CN"/>
        </w:rPr>
        <w:t>一</w:t>
      </w:r>
      <w:r>
        <w:rPr>
          <w:rFonts w:hint="eastAsia" w:ascii="仿宋_GB2312" w:eastAsia="仿宋_GB2312"/>
          <w:sz w:val="32"/>
          <w:szCs w:val="32"/>
          <w:lang w:val="en-US"/>
        </w:rPr>
        <w:t>）预算绩效情况</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firstLine="640" w:firstLineChars="200"/>
        <w:jc w:val="both"/>
        <w:textAlignment w:val="auto"/>
        <w:rPr>
          <w:rFonts w:hint="eastAsia" w:ascii="仿宋_GB2312" w:hAnsi="宋体" w:eastAsia="仿宋_GB2312" w:cs="宋体"/>
        </w:rPr>
      </w:pPr>
      <w:r>
        <w:rPr>
          <w:rFonts w:ascii="仿宋_GB2312" w:hAnsi="宋体" w:eastAsia="仿宋_GB2312" w:cs="宋体"/>
        </w:rPr>
        <w:t>202</w:t>
      </w:r>
      <w:r>
        <w:rPr>
          <w:rFonts w:hint="eastAsia" w:ascii="仿宋_GB2312" w:hAnsi="宋体" w:eastAsia="仿宋_GB2312" w:cs="宋体"/>
          <w:lang w:val="en-US" w:eastAsia="zh-CN"/>
        </w:rPr>
        <w:t>5</w:t>
      </w:r>
      <w:r>
        <w:rPr>
          <w:rFonts w:ascii="仿宋_GB2312" w:hAnsi="宋体" w:eastAsia="仿宋_GB2312" w:cs="宋体"/>
        </w:rPr>
        <w:t>年</w:t>
      </w:r>
      <w:r>
        <w:rPr>
          <w:rFonts w:hint="eastAsia" w:ascii="仿宋_GB2312" w:hAnsi="宋体" w:eastAsia="仿宋_GB2312" w:cs="宋体"/>
        </w:rPr>
        <w:t>管委会本级共14部门，</w:t>
      </w:r>
      <w:r>
        <w:rPr>
          <w:rFonts w:ascii="仿宋_GB2312" w:hAnsi="宋体" w:eastAsia="仿宋_GB2312" w:cs="宋体"/>
        </w:rPr>
        <w:t>设置项目支出预算绩效目标，分别</w:t>
      </w:r>
      <w:r>
        <w:rPr>
          <w:rFonts w:hint="eastAsia" w:ascii="仿宋_GB2312" w:hAnsi="宋体" w:eastAsia="仿宋_GB2312" w:cs="宋体"/>
        </w:rPr>
        <w:t>是涉及运转性支出、节能环保、装备采购</w:t>
      </w:r>
      <w:r>
        <w:rPr>
          <w:rFonts w:hint="eastAsia" w:ascii="仿宋_GB2312" w:hAnsi="宋体" w:eastAsia="仿宋_GB2312" w:cs="宋体"/>
          <w:lang w:eastAsia="zh-CN"/>
        </w:rPr>
        <w:t>等</w:t>
      </w:r>
      <w:r>
        <w:rPr>
          <w:rFonts w:hint="eastAsia" w:ascii="仿宋_GB2312" w:hAnsi="宋体" w:eastAsia="仿宋_GB2312" w:cs="宋体"/>
        </w:rPr>
        <w:t>支出</w:t>
      </w:r>
      <w:r>
        <w:rPr>
          <w:rFonts w:ascii="仿宋_GB2312" w:hAnsi="宋体" w:eastAsia="仿宋_GB2312" w:cs="宋体"/>
        </w:rPr>
        <w:t>项目</w:t>
      </w:r>
      <w:r>
        <w:rPr>
          <w:rFonts w:hint="eastAsia" w:ascii="仿宋_GB2312" w:hAnsi="宋体" w:eastAsia="仿宋_GB2312" w:cs="宋体"/>
        </w:rPr>
        <w:t>。</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firstLine="640" w:firstLineChars="200"/>
        <w:jc w:val="both"/>
        <w:textAlignment w:val="auto"/>
        <w:rPr>
          <w:rFonts w:hint="eastAsia" w:ascii="仿宋_GB2312" w:hAnsi="宋体" w:eastAsia="仿宋_GB2312" w:cs="宋体"/>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firstLine="640" w:firstLineChars="200"/>
        <w:jc w:val="both"/>
        <w:textAlignment w:val="auto"/>
        <w:rPr>
          <w:rFonts w:hint="eastAsia" w:ascii="仿宋_GB2312" w:hAnsi="宋体" w:eastAsia="仿宋_GB2312" w:cs="宋体"/>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firstLine="640" w:firstLineChars="200"/>
        <w:jc w:val="both"/>
        <w:textAlignment w:val="auto"/>
        <w:rPr>
          <w:rFonts w:hint="eastAsia" w:ascii="仿宋_GB2312" w:hAnsi="宋体" w:eastAsia="仿宋_GB2312" w:cs="宋体"/>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firstLine="640" w:firstLineChars="200"/>
        <w:jc w:val="both"/>
        <w:textAlignment w:val="auto"/>
        <w:rPr>
          <w:rFonts w:hint="eastAsia" w:ascii="仿宋_GB2312" w:hAnsi="宋体" w:eastAsia="仿宋_GB2312" w:cs="宋体"/>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firstLine="640" w:firstLineChars="200"/>
        <w:jc w:val="both"/>
        <w:textAlignment w:val="auto"/>
        <w:rPr>
          <w:rFonts w:hint="eastAsia" w:ascii="仿宋_GB2312" w:hAnsi="宋体" w:eastAsia="仿宋_GB2312" w:cs="宋体"/>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firstLine="640" w:firstLineChars="200"/>
        <w:jc w:val="both"/>
        <w:textAlignment w:val="auto"/>
        <w:rPr>
          <w:rFonts w:hint="eastAsia" w:ascii="仿宋_GB2312" w:hAnsi="宋体" w:eastAsia="仿宋_GB2312" w:cs="宋体"/>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firstLine="640" w:firstLineChars="200"/>
        <w:jc w:val="both"/>
        <w:textAlignment w:val="auto"/>
        <w:rPr>
          <w:rFonts w:hint="eastAsia" w:ascii="仿宋_GB2312" w:hAnsi="宋体" w:eastAsia="仿宋_GB2312" w:cs="宋体"/>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firstLine="640" w:firstLineChars="200"/>
        <w:jc w:val="both"/>
        <w:textAlignment w:val="auto"/>
        <w:rPr>
          <w:rFonts w:hint="eastAsia" w:ascii="仿宋_GB2312" w:hAnsi="宋体" w:eastAsia="仿宋_GB2312" w:cs="宋体"/>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jc w:val="both"/>
        <w:textAlignment w:val="auto"/>
        <w:rPr>
          <w:rFonts w:hint="eastAsia" w:ascii="仿宋_GB2312" w:hAnsi="宋体" w:eastAsia="仿宋_GB2312" w:cs="宋体"/>
        </w:rPr>
      </w:pPr>
      <w:bookmarkStart w:id="0" w:name="_GoBack"/>
      <w:bookmarkEnd w:id="0"/>
    </w:p>
    <w:p>
      <w:pPr>
        <w:pStyle w:val="7"/>
        <w:keepNext w:val="0"/>
        <w:keepLines w:val="0"/>
        <w:pageBreakBefore w:val="0"/>
        <w:kinsoku/>
        <w:wordWrap/>
        <w:overflowPunct/>
        <w:topLinePunct w:val="0"/>
        <w:bidi w:val="0"/>
        <w:adjustRightInd/>
        <w:snapToGrid/>
        <w:spacing w:before="15" w:line="560" w:lineRule="exact"/>
        <w:textAlignment w:val="auto"/>
        <w:rPr>
          <w:b/>
          <w:sz w:val="33"/>
        </w:rPr>
      </w:pPr>
    </w:p>
    <w:p>
      <w:pPr>
        <w:keepNext w:val="0"/>
        <w:keepLines w:val="0"/>
        <w:pageBreakBefore w:val="0"/>
        <w:widowControl/>
        <w:kinsoku/>
        <w:wordWrap/>
        <w:overflowPunct/>
        <w:topLinePunct w:val="0"/>
        <w:bidi w:val="0"/>
        <w:adjustRightInd/>
        <w:snapToGrid/>
        <w:spacing w:line="560" w:lineRule="exact"/>
        <w:jc w:val="center"/>
        <w:textAlignment w:val="auto"/>
        <w:outlineLvl w:val="1"/>
        <w:rPr>
          <w:rFonts w:hint="eastAsia" w:ascii="仿宋_GB2312" w:eastAsia="仿宋_GB2312"/>
          <w:b/>
          <w:sz w:val="36"/>
          <w:szCs w:val="36"/>
        </w:rPr>
      </w:pPr>
      <w:r>
        <w:rPr>
          <w:rFonts w:hint="eastAsia" w:ascii="仿宋_GB2312" w:eastAsia="仿宋_GB2312"/>
          <w:b/>
          <w:sz w:val="36"/>
          <w:szCs w:val="36"/>
        </w:rPr>
        <w:t>宁东管委会本级202</w:t>
      </w:r>
      <w:r>
        <w:rPr>
          <w:rFonts w:hint="eastAsia" w:ascii="仿宋_GB2312" w:eastAsia="仿宋_GB2312"/>
          <w:b/>
          <w:sz w:val="36"/>
          <w:szCs w:val="36"/>
          <w:lang w:val="en-US" w:eastAsia="zh-CN"/>
        </w:rPr>
        <w:t>5</w:t>
      </w:r>
      <w:r>
        <w:rPr>
          <w:rFonts w:hint="eastAsia" w:ascii="仿宋_GB2312" w:eastAsia="仿宋_GB2312"/>
          <w:b/>
          <w:sz w:val="36"/>
          <w:szCs w:val="36"/>
        </w:rPr>
        <w:t>年部门预算——名词解释</w:t>
      </w:r>
    </w:p>
    <w:p>
      <w:pPr>
        <w:pStyle w:val="7"/>
        <w:keepNext w:val="0"/>
        <w:keepLines w:val="0"/>
        <w:pageBreakBefore w:val="0"/>
        <w:kinsoku/>
        <w:wordWrap/>
        <w:overflowPunct/>
        <w:topLinePunct w:val="0"/>
        <w:bidi w:val="0"/>
        <w:adjustRightInd/>
        <w:snapToGrid/>
        <w:spacing w:before="3" w:line="560" w:lineRule="exact"/>
        <w:textAlignment w:val="auto"/>
        <w:rPr>
          <w:rFonts w:ascii="Arial Unicode MS"/>
          <w:sz w:val="44"/>
        </w:rPr>
      </w:pPr>
    </w:p>
    <w:p>
      <w:pPr>
        <w:pStyle w:val="7"/>
        <w:keepNext w:val="0"/>
        <w:keepLines w:val="0"/>
        <w:pageBreakBefore w:val="0"/>
        <w:kinsoku/>
        <w:wordWrap/>
        <w:overflowPunct/>
        <w:topLinePunct w:val="0"/>
        <w:bidi w:val="0"/>
        <w:adjustRightInd/>
        <w:snapToGrid/>
        <w:spacing w:line="560" w:lineRule="exact"/>
        <w:ind w:left="106" w:right="273" w:firstLine="640"/>
        <w:jc w:val="both"/>
        <w:textAlignment w:val="auto"/>
      </w:pPr>
      <w:r>
        <w:t>一、支出功能分类科目编码、名称：按照《</w:t>
      </w:r>
      <w:r>
        <w:rPr>
          <w:rFonts w:ascii="Times New Roman" w:hAnsi="Times New Roman" w:eastAsia="Times New Roman"/>
        </w:rPr>
        <w:t>20</w:t>
      </w:r>
      <w:r>
        <w:rPr>
          <w:rFonts w:hint="eastAsia" w:ascii="Times New Roman" w:hAnsi="Times New Roman" w:eastAsia="宋体"/>
          <w:lang w:val="en-US" w:eastAsia="zh-CN"/>
        </w:rPr>
        <w:t>25</w:t>
      </w:r>
      <w:r>
        <w:t>年政府收支分类科目》</w:t>
      </w:r>
      <w:r>
        <w:rPr>
          <w:rFonts w:ascii="Times New Roman" w:hAnsi="Times New Roman" w:eastAsia="Times New Roman"/>
        </w:rPr>
        <w:t>“</w:t>
      </w:r>
      <w:r>
        <w:t>类</w:t>
      </w:r>
      <w:r>
        <w:rPr>
          <w:rFonts w:ascii="Times New Roman" w:hAnsi="Times New Roman" w:eastAsia="Times New Roman"/>
        </w:rPr>
        <w:t>”</w:t>
      </w:r>
      <w:r>
        <w:t>、</w:t>
      </w:r>
      <w:r>
        <w:rPr>
          <w:rFonts w:ascii="Times New Roman" w:hAnsi="Times New Roman" w:eastAsia="Times New Roman"/>
        </w:rPr>
        <w:t>“</w:t>
      </w:r>
      <w:r>
        <w:t>款</w:t>
      </w:r>
      <w:r>
        <w:rPr>
          <w:rFonts w:ascii="Times New Roman" w:hAnsi="Times New Roman" w:eastAsia="Times New Roman"/>
        </w:rPr>
        <w:t>”</w:t>
      </w:r>
      <w:r>
        <w:t>、</w:t>
      </w:r>
      <w:r>
        <w:rPr>
          <w:rFonts w:ascii="Times New Roman" w:hAnsi="Times New Roman" w:eastAsia="Times New Roman"/>
        </w:rPr>
        <w:t>“</w:t>
      </w:r>
      <w:r>
        <w:t>项</w:t>
      </w:r>
      <w:r>
        <w:rPr>
          <w:rFonts w:ascii="Times New Roman" w:hAnsi="Times New Roman" w:eastAsia="Times New Roman"/>
        </w:rPr>
        <w:t>”</w:t>
      </w:r>
      <w:r>
        <w:t>的编码和名称填列</w:t>
      </w:r>
    </w:p>
    <w:p>
      <w:pPr>
        <w:pStyle w:val="7"/>
        <w:keepNext w:val="0"/>
        <w:keepLines w:val="0"/>
        <w:pageBreakBefore w:val="0"/>
        <w:kinsoku/>
        <w:wordWrap/>
        <w:overflowPunct/>
        <w:topLinePunct w:val="0"/>
        <w:bidi w:val="0"/>
        <w:adjustRightInd/>
        <w:snapToGrid/>
        <w:spacing w:line="560" w:lineRule="exact"/>
        <w:ind w:left="747"/>
        <w:jc w:val="both"/>
        <w:textAlignment w:val="auto"/>
      </w:pPr>
      <w:r>
        <w:t>二、本年收入：是指单位本年度取得的全部收入。</w:t>
      </w:r>
    </w:p>
    <w:p>
      <w:pPr>
        <w:pStyle w:val="7"/>
        <w:keepNext w:val="0"/>
        <w:keepLines w:val="0"/>
        <w:pageBreakBefore w:val="0"/>
        <w:kinsoku/>
        <w:wordWrap/>
        <w:overflowPunct/>
        <w:topLinePunct w:val="0"/>
        <w:bidi w:val="0"/>
        <w:adjustRightInd/>
        <w:snapToGrid/>
        <w:spacing w:before="99" w:line="560" w:lineRule="exact"/>
        <w:ind w:left="106" w:right="114" w:firstLine="640"/>
        <w:jc w:val="both"/>
        <w:textAlignment w:val="auto"/>
      </w:pPr>
      <w:r>
        <w:rPr>
          <w:spacing w:val="-18"/>
          <w:w w:val="95"/>
        </w:rPr>
        <w:t xml:space="preserve">三、上年结转：是指单位上年结转本年使用的基本支出结转、  </w:t>
      </w:r>
      <w:r>
        <w:rPr>
          <w:spacing w:val="-18"/>
        </w:rPr>
        <w:t>项目支出结转和结余和经营结余。</w:t>
      </w:r>
    </w:p>
    <w:p>
      <w:pPr>
        <w:pStyle w:val="7"/>
        <w:keepNext w:val="0"/>
        <w:keepLines w:val="0"/>
        <w:pageBreakBefore w:val="0"/>
        <w:kinsoku/>
        <w:wordWrap/>
        <w:overflowPunct/>
        <w:topLinePunct w:val="0"/>
        <w:bidi w:val="0"/>
        <w:adjustRightInd/>
        <w:snapToGrid/>
        <w:spacing w:line="560" w:lineRule="exact"/>
        <w:ind w:left="747"/>
        <w:jc w:val="both"/>
        <w:textAlignment w:val="auto"/>
      </w:pPr>
      <w:r>
        <w:t>四、本年支出：是指单位本年度全部支出。</w:t>
      </w:r>
    </w:p>
    <w:p>
      <w:pPr>
        <w:pStyle w:val="7"/>
        <w:keepNext w:val="0"/>
        <w:keepLines w:val="0"/>
        <w:pageBreakBefore w:val="0"/>
        <w:kinsoku/>
        <w:wordWrap/>
        <w:overflowPunct/>
        <w:topLinePunct w:val="0"/>
        <w:bidi w:val="0"/>
        <w:adjustRightInd/>
        <w:snapToGrid/>
        <w:spacing w:before="99" w:line="560" w:lineRule="exact"/>
        <w:ind w:left="106" w:right="271" w:firstLine="640"/>
        <w:jc w:val="both"/>
        <w:textAlignment w:val="auto"/>
        <w:rPr>
          <w:rFonts w:hint="eastAsia"/>
          <w:spacing w:val="-14"/>
        </w:rPr>
      </w:pPr>
      <w:r>
        <w:rPr>
          <w:spacing w:val="-11"/>
        </w:rPr>
        <w:t>五、财政拨款收入：是指单位本年度从本级财政部门取得的</w:t>
      </w:r>
      <w:r>
        <w:rPr>
          <w:spacing w:val="-14"/>
        </w:rPr>
        <w:t>财政拨款，包括一般公共预算财政拨款和政府性基金预算财政拨款</w:t>
      </w:r>
      <w:r>
        <w:rPr>
          <w:rFonts w:hint="eastAsia"/>
          <w:spacing w:val="-14"/>
        </w:rPr>
        <w:t>。</w:t>
      </w:r>
    </w:p>
    <w:p>
      <w:pPr>
        <w:pStyle w:val="7"/>
        <w:keepNext w:val="0"/>
        <w:keepLines w:val="0"/>
        <w:pageBreakBefore w:val="0"/>
        <w:kinsoku/>
        <w:wordWrap/>
        <w:overflowPunct/>
        <w:topLinePunct w:val="0"/>
        <w:bidi w:val="0"/>
        <w:adjustRightInd/>
        <w:snapToGrid/>
        <w:spacing w:before="99" w:line="560" w:lineRule="exact"/>
        <w:ind w:left="106" w:right="271" w:firstLine="640"/>
        <w:jc w:val="both"/>
        <w:textAlignment w:val="auto"/>
      </w:pPr>
      <w:r>
        <w:rPr>
          <w:spacing w:val="-11"/>
        </w:rPr>
        <w:t>六、事业收入：是指事业单位开展专业业务活动及其辅助活动取得的收入。</w:t>
      </w:r>
    </w:p>
    <w:p>
      <w:pPr>
        <w:pStyle w:val="7"/>
        <w:keepNext w:val="0"/>
        <w:keepLines w:val="0"/>
        <w:pageBreakBefore w:val="0"/>
        <w:kinsoku/>
        <w:wordWrap/>
        <w:overflowPunct/>
        <w:topLinePunct w:val="0"/>
        <w:bidi w:val="0"/>
        <w:adjustRightInd/>
        <w:snapToGrid/>
        <w:spacing w:line="560" w:lineRule="exact"/>
        <w:ind w:left="106" w:right="273" w:firstLine="640"/>
        <w:jc w:val="both"/>
        <w:textAlignment w:val="auto"/>
      </w:pPr>
      <w:r>
        <w:rPr>
          <w:spacing w:val="-11"/>
        </w:rPr>
        <w:t>七、</w:t>
      </w:r>
      <w:r>
        <w:rPr>
          <w:spacing w:val="-12"/>
        </w:rPr>
        <w:t>基本支出：是指单位为保障机构正常运转、完成日常工作任务而发生的各项支出。</w:t>
      </w:r>
    </w:p>
    <w:p>
      <w:pPr>
        <w:pStyle w:val="7"/>
        <w:keepNext w:val="0"/>
        <w:keepLines w:val="0"/>
        <w:pageBreakBefore w:val="0"/>
        <w:kinsoku/>
        <w:wordWrap/>
        <w:overflowPunct/>
        <w:topLinePunct w:val="0"/>
        <w:bidi w:val="0"/>
        <w:adjustRightInd/>
        <w:snapToGrid/>
        <w:spacing w:line="560" w:lineRule="exact"/>
        <w:ind w:left="106" w:right="275" w:firstLine="640"/>
        <w:jc w:val="both"/>
        <w:textAlignment w:val="auto"/>
      </w:pPr>
      <w:r>
        <w:rPr>
          <w:rFonts w:hint="eastAsia"/>
          <w:spacing w:val="-11"/>
          <w:lang w:eastAsia="zh-CN"/>
        </w:rPr>
        <w:t>八</w:t>
      </w:r>
      <w:r>
        <w:rPr>
          <w:spacing w:val="-11"/>
        </w:rPr>
        <w:t>、项目支出：是指单位为完成特定的行政工作任务或事业发展目标，在基本支出之外发生的各项支出。</w:t>
      </w:r>
    </w:p>
    <w:p>
      <w:pPr>
        <w:pStyle w:val="7"/>
        <w:keepNext w:val="0"/>
        <w:keepLines w:val="0"/>
        <w:pageBreakBefore w:val="0"/>
        <w:kinsoku/>
        <w:wordWrap/>
        <w:overflowPunct/>
        <w:topLinePunct w:val="0"/>
        <w:bidi w:val="0"/>
        <w:adjustRightInd/>
        <w:snapToGrid/>
        <w:spacing w:line="560" w:lineRule="exact"/>
        <w:ind w:left="106" w:right="271" w:firstLine="640"/>
        <w:jc w:val="both"/>
        <w:textAlignment w:val="auto"/>
      </w:pPr>
      <w:r>
        <w:rPr>
          <w:rFonts w:hint="eastAsia"/>
          <w:spacing w:val="-11"/>
          <w:lang w:eastAsia="zh-CN"/>
        </w:rPr>
        <w:t>九</w:t>
      </w:r>
      <w:r>
        <w:rPr>
          <w:spacing w:val="-11"/>
        </w:rPr>
        <w:t>、人员经费：是指单位基本支出中用一般公共预算财政拨款安排的</w:t>
      </w:r>
      <w:r>
        <w:rPr>
          <w:rFonts w:ascii="Times New Roman" w:hAnsi="Times New Roman" w:eastAsia="Times New Roman"/>
          <w:spacing w:val="-11"/>
        </w:rPr>
        <w:t>“</w:t>
      </w:r>
      <w:r>
        <w:rPr>
          <w:spacing w:val="-11"/>
        </w:rPr>
        <w:t>工资福利支出</w:t>
      </w:r>
      <w:r>
        <w:rPr>
          <w:rFonts w:ascii="Times New Roman" w:hAnsi="Times New Roman" w:eastAsia="Times New Roman"/>
          <w:spacing w:val="-11"/>
        </w:rPr>
        <w:t>”</w:t>
      </w:r>
      <w:r>
        <w:rPr>
          <w:spacing w:val="-11"/>
        </w:rPr>
        <w:t>和</w:t>
      </w:r>
      <w:r>
        <w:rPr>
          <w:rFonts w:ascii="Times New Roman" w:hAnsi="Times New Roman" w:eastAsia="Times New Roman"/>
          <w:spacing w:val="-11"/>
        </w:rPr>
        <w:t>“</w:t>
      </w:r>
      <w:r>
        <w:rPr>
          <w:spacing w:val="-11"/>
        </w:rPr>
        <w:t>对个人和家庭的补助</w:t>
      </w:r>
      <w:r>
        <w:rPr>
          <w:rFonts w:ascii="Times New Roman" w:hAnsi="Times New Roman" w:eastAsia="Times New Roman"/>
          <w:spacing w:val="-11"/>
        </w:rPr>
        <w:t>”</w:t>
      </w:r>
      <w:r>
        <w:rPr>
          <w:spacing w:val="-11"/>
        </w:rPr>
        <w:t>。</w:t>
      </w:r>
    </w:p>
    <w:p>
      <w:pPr>
        <w:pStyle w:val="7"/>
        <w:keepNext w:val="0"/>
        <w:keepLines w:val="0"/>
        <w:pageBreakBefore w:val="0"/>
        <w:kinsoku/>
        <w:wordWrap/>
        <w:overflowPunct/>
        <w:topLinePunct w:val="0"/>
        <w:bidi w:val="0"/>
        <w:adjustRightInd/>
        <w:snapToGrid/>
        <w:spacing w:line="560" w:lineRule="exact"/>
        <w:ind w:left="106" w:right="273" w:firstLine="640"/>
        <w:jc w:val="both"/>
        <w:textAlignment w:val="auto"/>
      </w:pPr>
      <w:r>
        <w:rPr>
          <w:rFonts w:hint="eastAsia"/>
          <w:spacing w:val="-11"/>
          <w:lang w:eastAsia="zh-CN"/>
        </w:rPr>
        <w:t>十</w:t>
      </w:r>
      <w:r>
        <w:rPr>
          <w:spacing w:val="-11"/>
        </w:rPr>
        <w:t>、日常公用支出：是指单位用一般公共预算财政拨款安排的除人员经费以外的基本支出。</w:t>
      </w:r>
    </w:p>
    <w:p>
      <w:pPr>
        <w:pStyle w:val="7"/>
        <w:keepNext w:val="0"/>
        <w:keepLines w:val="0"/>
        <w:pageBreakBefore w:val="0"/>
        <w:kinsoku/>
        <w:wordWrap/>
        <w:overflowPunct/>
        <w:topLinePunct w:val="0"/>
        <w:bidi w:val="0"/>
        <w:adjustRightInd/>
        <w:snapToGrid/>
        <w:spacing w:line="560" w:lineRule="exact"/>
        <w:ind w:left="106" w:right="271" w:firstLine="640"/>
        <w:jc w:val="both"/>
        <w:textAlignment w:val="auto"/>
      </w:pPr>
      <w:r>
        <w:rPr>
          <w:spacing w:val="-5"/>
        </w:rPr>
        <w:t>十</w:t>
      </w:r>
      <w:r>
        <w:rPr>
          <w:rFonts w:hint="eastAsia"/>
          <w:spacing w:val="-5"/>
          <w:lang w:eastAsia="zh-CN"/>
        </w:rPr>
        <w:t>一</w:t>
      </w:r>
      <w:r>
        <w:rPr>
          <w:spacing w:val="-5"/>
        </w:rPr>
        <w:t>、</w:t>
      </w:r>
      <w:r>
        <w:rPr>
          <w:rFonts w:ascii="Times New Roman" w:hAnsi="Times New Roman" w:eastAsia="Times New Roman"/>
        </w:rPr>
        <w:t>“</w:t>
      </w:r>
      <w:r>
        <w:t>三公</w:t>
      </w:r>
      <w:r>
        <w:rPr>
          <w:rFonts w:ascii="Times New Roman" w:hAnsi="Times New Roman" w:eastAsia="Times New Roman"/>
        </w:rPr>
        <w:t>”</w:t>
      </w:r>
      <w:r>
        <w:rPr>
          <w:spacing w:val="-4"/>
        </w:rPr>
        <w:t>经费：纳入财政预决算管理的</w:t>
      </w:r>
      <w:r>
        <w:rPr>
          <w:rFonts w:ascii="Times New Roman" w:hAnsi="Times New Roman" w:eastAsia="Times New Roman"/>
        </w:rPr>
        <w:t>“</w:t>
      </w:r>
      <w:r>
        <w:t>三公</w:t>
      </w:r>
      <w:r>
        <w:rPr>
          <w:rFonts w:ascii="Times New Roman" w:hAnsi="Times New Roman" w:eastAsia="Times New Roman"/>
        </w:rPr>
        <w:t>”</w:t>
      </w:r>
      <w:r>
        <w:rPr>
          <w:spacing w:val="-4"/>
        </w:rPr>
        <w:t>经费，是</w:t>
      </w:r>
      <w:r>
        <w:rPr>
          <w:spacing w:val="-7"/>
          <w:w w:val="95"/>
        </w:rPr>
        <w:t>指部门用财政拨款安排的因公出国</w:t>
      </w:r>
      <w:r>
        <w:rPr>
          <w:w w:val="95"/>
        </w:rPr>
        <w:t>（境</w:t>
      </w:r>
      <w:r>
        <w:rPr>
          <w:spacing w:val="-36"/>
          <w:w w:val="95"/>
        </w:rPr>
        <w:t>）</w:t>
      </w:r>
      <w:r>
        <w:rPr>
          <w:spacing w:val="-7"/>
          <w:w w:val="95"/>
        </w:rPr>
        <w:t xml:space="preserve">费、公务用车购置及运  </w:t>
      </w:r>
      <w:r>
        <w:rPr>
          <w:spacing w:val="-12"/>
          <w:w w:val="95"/>
        </w:rPr>
        <w:t>行费和公务接待费。其中，因公出国</w:t>
      </w:r>
      <w:r>
        <w:rPr>
          <w:w w:val="95"/>
        </w:rPr>
        <w:t>（境</w:t>
      </w:r>
      <w:r>
        <w:rPr>
          <w:spacing w:val="-27"/>
          <w:w w:val="95"/>
        </w:rPr>
        <w:t>）</w:t>
      </w:r>
      <w:r>
        <w:rPr>
          <w:w w:val="95"/>
        </w:rPr>
        <w:t>费反映单位公务出国</w:t>
      </w:r>
    </w:p>
    <w:p>
      <w:pPr>
        <w:pStyle w:val="7"/>
        <w:keepNext w:val="0"/>
        <w:keepLines w:val="0"/>
        <w:pageBreakBefore w:val="0"/>
        <w:kinsoku/>
        <w:wordWrap/>
        <w:overflowPunct/>
        <w:topLinePunct w:val="0"/>
        <w:bidi w:val="0"/>
        <w:adjustRightInd/>
        <w:snapToGrid/>
        <w:spacing w:line="560" w:lineRule="exact"/>
        <w:ind w:left="106" w:right="114"/>
        <w:jc w:val="both"/>
        <w:textAlignment w:val="auto"/>
      </w:pPr>
      <w:r>
        <w:t>（境</w:t>
      </w:r>
      <w:r>
        <w:rPr>
          <w:spacing w:val="-19"/>
        </w:rPr>
        <w:t>）</w:t>
      </w:r>
      <w:r>
        <w:rPr>
          <w:spacing w:val="-9"/>
        </w:rPr>
        <w:t>的住宿费、旅费、伙食补助费、杂费、培训费等支出；公</w:t>
      </w:r>
      <w:r>
        <w:rPr>
          <w:spacing w:val="6"/>
        </w:rPr>
        <w:t>务用车购置及运行费反映单位公务用车购置费及租用费、燃料</w:t>
      </w:r>
      <w:r>
        <w:rPr>
          <w:spacing w:val="-10"/>
        </w:rPr>
        <w:t>费、维修费、过路过桥费、保险费、安全奖励费用等支出；公务</w:t>
      </w:r>
      <w:r>
        <w:rPr>
          <w:spacing w:val="-17"/>
          <w:w w:val="95"/>
        </w:rPr>
        <w:t>接待费反映单位按规定开支的各类公务接待</w:t>
      </w:r>
      <w:r>
        <w:rPr>
          <w:w w:val="95"/>
        </w:rPr>
        <w:t>（含外宾接待</w:t>
      </w:r>
      <w:r>
        <w:rPr>
          <w:spacing w:val="-137"/>
          <w:w w:val="95"/>
        </w:rPr>
        <w:t>）</w:t>
      </w:r>
      <w:r>
        <w:rPr>
          <w:w w:val="95"/>
        </w:rPr>
        <w:t>支出。</w:t>
      </w:r>
    </w:p>
    <w:p>
      <w:pPr>
        <w:pStyle w:val="7"/>
        <w:keepNext w:val="0"/>
        <w:keepLines w:val="0"/>
        <w:pageBreakBefore w:val="0"/>
        <w:kinsoku/>
        <w:wordWrap/>
        <w:overflowPunct/>
        <w:topLinePunct w:val="0"/>
        <w:bidi w:val="0"/>
        <w:adjustRightInd/>
        <w:snapToGrid/>
        <w:spacing w:before="28" w:line="560" w:lineRule="exact"/>
        <w:ind w:left="106" w:right="114" w:firstLine="640"/>
        <w:jc w:val="both"/>
        <w:textAlignment w:val="auto"/>
      </w:pPr>
      <w:r>
        <w:rPr>
          <w:spacing w:val="-11"/>
        </w:rPr>
        <w:t>十</w:t>
      </w:r>
      <w:r>
        <w:rPr>
          <w:rFonts w:hint="eastAsia"/>
          <w:spacing w:val="-11"/>
          <w:lang w:eastAsia="zh-CN"/>
        </w:rPr>
        <w:t>二</w:t>
      </w:r>
      <w:r>
        <w:rPr>
          <w:spacing w:val="-11"/>
        </w:rPr>
        <w:t>、机关运行经费：是指为保障行政单位</w:t>
      </w:r>
      <w:r>
        <w:t>（包括实行公务员管理的事业单位</w:t>
      </w:r>
      <w:r>
        <w:rPr>
          <w:spacing w:val="-58"/>
        </w:rPr>
        <w:t>）</w:t>
      </w:r>
      <w:r>
        <w:rPr>
          <w:spacing w:val="-4"/>
        </w:rPr>
        <w:t>运行用于购买货物和服务的各项资金，包括</w:t>
      </w:r>
      <w:r>
        <w:rPr>
          <w:spacing w:val="-19"/>
        </w:rPr>
        <w:t>办公及印刷费、邮电费、差旅费、会议费、福利费、日常维修费、</w:t>
      </w:r>
      <w:r>
        <w:rPr>
          <w:spacing w:val="-17"/>
          <w:w w:val="95"/>
        </w:rPr>
        <w:t xml:space="preserve">专用材料及一般设备购置费、办公用房水电费、办公用房取暖费、  </w:t>
      </w:r>
      <w:r>
        <w:rPr>
          <w:spacing w:val="-17"/>
        </w:rPr>
        <w:t>办公用房物业管理费、公务用车运行维护费以及其他费用。</w:t>
      </w:r>
    </w:p>
    <w:sectPr>
      <w:footerReference r:id="rId3" w:type="default"/>
      <w:footerReference r:id="rId4" w:type="even"/>
      <w:pgSz w:w="11910" w:h="16840"/>
      <w:pgMar w:top="1420" w:right="1200" w:bottom="1140" w:left="1480" w:header="0" w:footer="959" w:gutter="0"/>
      <w:pgNumType w:start="3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SimSun">
    <w:panose1 w:val="02010600030101010101"/>
    <w:charset w:val="86"/>
    <w:family w:val="auto"/>
    <w:pitch w:val="default"/>
    <w:sig w:usb0="00000003" w:usb1="080E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47583744" behindDoc="1" locked="0" layoutInCell="1" allowOverlap="1">
              <wp:simplePos x="0" y="0"/>
              <wp:positionH relativeFrom="page">
                <wp:posOffset>9231630</wp:posOffset>
              </wp:positionH>
              <wp:positionV relativeFrom="page">
                <wp:posOffset>6811010</wp:posOffset>
              </wp:positionV>
              <wp:extent cx="558165" cy="203835"/>
              <wp:effectExtent l="0" t="0" r="0" b="0"/>
              <wp:wrapNone/>
              <wp:docPr id="3" name="文本框 1028"/>
              <wp:cNvGraphicFramePr/>
              <a:graphic xmlns:a="http://schemas.openxmlformats.org/drawingml/2006/main">
                <a:graphicData uri="http://schemas.microsoft.com/office/word/2010/wordprocessingShape">
                  <wps:wsp>
                    <wps:cNvSpPr txBox="true"/>
                    <wps:spPr>
                      <a:xfrm>
                        <a:off x="0" y="0"/>
                        <a:ext cx="558165"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35</w:t>
                          </w:r>
                          <w:r>
                            <w:fldChar w:fldCharType="end"/>
                          </w:r>
                          <w:r>
                            <w:rPr>
                              <w:sz w:val="28"/>
                            </w:rPr>
                            <w:t xml:space="preserve"> -</w:t>
                          </w:r>
                        </w:p>
                      </w:txbxContent>
                    </wps:txbx>
                    <wps:bodyPr lIns="0" tIns="0" rIns="0" bIns="0" upright="true"/>
                  </wps:wsp>
                </a:graphicData>
              </a:graphic>
            </wp:anchor>
          </w:drawing>
        </mc:Choice>
        <mc:Fallback>
          <w:pict>
            <v:shape id="文本框 1028" o:spid="_x0000_s1026" o:spt="202" type="#_x0000_t202" style="position:absolute;left:0pt;margin-left:726.9pt;margin-top:536.3pt;height:16.05pt;width:43.95pt;mso-position-horizontal-relative:page;mso-position-vertical-relative:page;z-index:-255732736;mso-width-relative:page;mso-height-relative:page;" filled="f" stroked="f" coordsize="21600,21600" o:gfxdata="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OflG6NwAAAAPAQAADwAAAAAAAAABACAAAAA4AAAAZHJzL2Rvd25yZXYueG1sUEsB&#10;AhQAFAAAAAgAh07iQO7NFK6iAQAALAMAAA4AAAAAAAAAAQAgAAAAQQEAAGRycy9lMm9Eb2MueG1s&#10;UEsFBgAAAAAGAAYAWQEAAFUFA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35</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47588864" behindDoc="1" locked="0" layoutInCell="1" allowOverlap="1">
              <wp:simplePos x="0" y="0"/>
              <wp:positionH relativeFrom="page">
                <wp:posOffset>994410</wp:posOffset>
              </wp:positionH>
              <wp:positionV relativeFrom="page">
                <wp:posOffset>9942830</wp:posOffset>
              </wp:positionV>
              <wp:extent cx="560070" cy="203835"/>
              <wp:effectExtent l="0" t="0" r="0" b="0"/>
              <wp:wrapNone/>
              <wp:docPr id="4" name="文本框 1034"/>
              <wp:cNvGraphicFramePr/>
              <a:graphic xmlns:a="http://schemas.openxmlformats.org/drawingml/2006/main">
                <a:graphicData uri="http://schemas.microsoft.com/office/word/2010/wordprocessingShape">
                  <wps:wsp>
                    <wps:cNvSpPr txBox="true"/>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36</w:t>
                          </w:r>
                          <w:r>
                            <w:fldChar w:fldCharType="end"/>
                          </w:r>
                          <w:r>
                            <w:rPr>
                              <w:sz w:val="28"/>
                            </w:rPr>
                            <w:t xml:space="preserve"> -</w:t>
                          </w:r>
                        </w:p>
                      </w:txbxContent>
                    </wps:txbx>
                    <wps:bodyPr lIns="0" tIns="0" rIns="0" bIns="0" upright="true"/>
                  </wps:wsp>
                </a:graphicData>
              </a:graphic>
            </wp:anchor>
          </w:drawing>
        </mc:Choice>
        <mc:Fallback>
          <w:pict>
            <v:shape id="文本框 1034" o:spid="_x0000_s1026" o:spt="202" type="#_x0000_t202" style="position:absolute;left:0pt;margin-left:78.3pt;margin-top:782.9pt;height:16.05pt;width:44.1pt;mso-position-horizontal-relative:page;mso-position-vertical-relative:page;z-index:-255727616;mso-width-relative:page;mso-height-relative:page;" filled="f" stroked="f" coordsize="21600,21600" o:gfxdata="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wDn3FdgAAAANAQAADwAAAAAAAAABACAAAAA4AAAAZHJzL2Rvd25yZXYueG1sUEsBAhQA&#10;FAAAAAgAh07iQKfs2YKjAQAALAMAAA4AAAAAAAAAAQAgAAAAPQEAAGRycy9lMm9Eb2MueG1sUEsF&#10;BgAAAAAGAAYAWQEAAFIFA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36</w:t>
                    </w:r>
                    <w:r>
                      <w:fldChar w:fldCharType="end"/>
                    </w:r>
                    <w:r>
                      <w:rPr>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evenAndOddHeaders w:val="true"/>
  <w:drawingGridHorizontalSpacing w:val="110"/>
  <w:displayHorizontalDrawingGridEvery w:val="1"/>
  <w:displayVerticalDrawingGridEvery w:val="1"/>
  <w:noPunctuationKerning w:val="true"/>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3AF"/>
    <w:rsid w:val="000A565C"/>
    <w:rsid w:val="00291D4D"/>
    <w:rsid w:val="003463E4"/>
    <w:rsid w:val="0040475D"/>
    <w:rsid w:val="00475B5D"/>
    <w:rsid w:val="005953AF"/>
    <w:rsid w:val="00622526"/>
    <w:rsid w:val="0067189B"/>
    <w:rsid w:val="00886401"/>
    <w:rsid w:val="1BB3A8D4"/>
    <w:rsid w:val="1F5BF4D9"/>
    <w:rsid w:val="2F9DF404"/>
    <w:rsid w:val="367F9E2E"/>
    <w:rsid w:val="37CD848B"/>
    <w:rsid w:val="37E6C5F6"/>
    <w:rsid w:val="3AEA2BD3"/>
    <w:rsid w:val="3B6BDB3E"/>
    <w:rsid w:val="3BFC0572"/>
    <w:rsid w:val="3BFF7EFC"/>
    <w:rsid w:val="3CDFD75B"/>
    <w:rsid w:val="3EFF4939"/>
    <w:rsid w:val="3FCFFE2D"/>
    <w:rsid w:val="3FD861D8"/>
    <w:rsid w:val="3FF38260"/>
    <w:rsid w:val="43DFE8A2"/>
    <w:rsid w:val="4EF3E4E4"/>
    <w:rsid w:val="59FB44A3"/>
    <w:rsid w:val="5F5F87DD"/>
    <w:rsid w:val="5FD9B22D"/>
    <w:rsid w:val="5FEEAA6F"/>
    <w:rsid w:val="666F2A61"/>
    <w:rsid w:val="67B1064B"/>
    <w:rsid w:val="67F5CC1D"/>
    <w:rsid w:val="6B5CAD9C"/>
    <w:rsid w:val="6EFED774"/>
    <w:rsid w:val="6F7B9F64"/>
    <w:rsid w:val="6FF7E229"/>
    <w:rsid w:val="727FC8F1"/>
    <w:rsid w:val="74EAABD5"/>
    <w:rsid w:val="75C7A2BB"/>
    <w:rsid w:val="75EDAC98"/>
    <w:rsid w:val="76D73BCB"/>
    <w:rsid w:val="77BC3C7E"/>
    <w:rsid w:val="77BEA4A7"/>
    <w:rsid w:val="77DE873B"/>
    <w:rsid w:val="77FDA5CE"/>
    <w:rsid w:val="77FEF0C8"/>
    <w:rsid w:val="7A7534E2"/>
    <w:rsid w:val="7CFF2DBB"/>
    <w:rsid w:val="7D9B1093"/>
    <w:rsid w:val="7EDB41DE"/>
    <w:rsid w:val="7F71DEBA"/>
    <w:rsid w:val="7F7C23B6"/>
    <w:rsid w:val="7F7F4F6E"/>
    <w:rsid w:val="7FAF4CA8"/>
    <w:rsid w:val="7FDFC12F"/>
    <w:rsid w:val="7FE6CF25"/>
    <w:rsid w:val="7FEB7487"/>
    <w:rsid w:val="7FEF5765"/>
    <w:rsid w:val="7FF7CCCD"/>
    <w:rsid w:val="7FFC0E35"/>
    <w:rsid w:val="86762F52"/>
    <w:rsid w:val="AD2C9F4D"/>
    <w:rsid w:val="AD5F5D27"/>
    <w:rsid w:val="AEEF4B66"/>
    <w:rsid w:val="B577D976"/>
    <w:rsid w:val="BA7B23C6"/>
    <w:rsid w:val="BDBF6672"/>
    <w:rsid w:val="CFE62A7C"/>
    <w:rsid w:val="D1AFBF38"/>
    <w:rsid w:val="D7DDD1E0"/>
    <w:rsid w:val="D7E76DE5"/>
    <w:rsid w:val="DAEF76A5"/>
    <w:rsid w:val="DB4F1742"/>
    <w:rsid w:val="DB7DD4E7"/>
    <w:rsid w:val="DD7E8B68"/>
    <w:rsid w:val="DDFB2A18"/>
    <w:rsid w:val="DEF315E3"/>
    <w:rsid w:val="DF776D98"/>
    <w:rsid w:val="DFD5C463"/>
    <w:rsid w:val="DFFEEC66"/>
    <w:rsid w:val="E3FFFB4A"/>
    <w:rsid w:val="E6FE545C"/>
    <w:rsid w:val="E7A76481"/>
    <w:rsid w:val="E7FDFEB1"/>
    <w:rsid w:val="ECDE61FD"/>
    <w:rsid w:val="EF9F08F5"/>
    <w:rsid w:val="EFDF0568"/>
    <w:rsid w:val="EFE72C23"/>
    <w:rsid w:val="EFF75F6A"/>
    <w:rsid w:val="EFFF5242"/>
    <w:rsid w:val="F3DF8D1B"/>
    <w:rsid w:val="F4EEDB13"/>
    <w:rsid w:val="F5F70E70"/>
    <w:rsid w:val="F75B8084"/>
    <w:rsid w:val="F75F3DCD"/>
    <w:rsid w:val="F75FB797"/>
    <w:rsid w:val="F7EF684D"/>
    <w:rsid w:val="F7FC76C3"/>
    <w:rsid w:val="F9374965"/>
    <w:rsid w:val="FAAE973E"/>
    <w:rsid w:val="FAFFBFDB"/>
    <w:rsid w:val="FAFFE822"/>
    <w:rsid w:val="FBBD6402"/>
    <w:rsid w:val="FBCDF609"/>
    <w:rsid w:val="FBDD3EA8"/>
    <w:rsid w:val="FBECDCE7"/>
    <w:rsid w:val="FDDF4044"/>
    <w:rsid w:val="FDEB3513"/>
    <w:rsid w:val="FE734873"/>
    <w:rsid w:val="FE7FDFFE"/>
    <w:rsid w:val="FE7FF227"/>
    <w:rsid w:val="FF7F1F4A"/>
    <w:rsid w:val="FFD9D2DF"/>
    <w:rsid w:val="FFEDA96F"/>
    <w:rsid w:val="FFF3E342"/>
    <w:rsid w:val="FFFB42DA"/>
    <w:rsid w:val="FFFB6A3D"/>
    <w:rsid w:val="FFFD39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106"/>
      <w:outlineLvl w:val="0"/>
    </w:pPr>
    <w:rPr>
      <w:rFonts w:ascii="Arial Unicode MS" w:hAnsi="Arial Unicode MS" w:eastAsia="Arial Unicode MS" w:cs="Arial Unicode MS"/>
      <w:sz w:val="44"/>
      <w:szCs w:val="44"/>
    </w:rPr>
  </w:style>
  <w:style w:type="paragraph" w:styleId="4">
    <w:name w:val="heading 2"/>
    <w:basedOn w:val="1"/>
    <w:next w:val="1"/>
    <w:qFormat/>
    <w:uiPriority w:val="1"/>
    <w:pPr>
      <w:ind w:left="219"/>
      <w:outlineLvl w:val="1"/>
    </w:pPr>
    <w:rPr>
      <w:rFonts w:ascii="仿宋_GB2312" w:hAnsi="仿宋_GB2312" w:eastAsia="仿宋_GB2312" w:cs="仿宋_GB2312"/>
      <w:b/>
      <w:bCs/>
      <w:sz w:val="36"/>
      <w:szCs w:val="36"/>
    </w:rPr>
  </w:style>
  <w:style w:type="paragraph" w:styleId="5">
    <w:name w:val="heading 3"/>
    <w:basedOn w:val="1"/>
    <w:next w:val="1"/>
    <w:qFormat/>
    <w:uiPriority w:val="1"/>
    <w:pPr>
      <w:spacing w:before="3"/>
      <w:ind w:left="747"/>
      <w:outlineLvl w:val="2"/>
    </w:pPr>
    <w:rPr>
      <w:rFonts w:ascii="华文仿宋" w:hAnsi="华文仿宋" w:eastAsia="华文仿宋" w:cs="华文仿宋"/>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rPr>
      <w:kern w:val="0"/>
      <w:szCs w:val="21"/>
    </w:rPr>
  </w:style>
  <w:style w:type="paragraph" w:styleId="6">
    <w:name w:val="Document Map"/>
    <w:basedOn w:val="1"/>
    <w:link w:val="23"/>
    <w:qFormat/>
    <w:uiPriority w:val="0"/>
    <w:rPr>
      <w:sz w:val="18"/>
      <w:szCs w:val="18"/>
    </w:rPr>
  </w:style>
  <w:style w:type="paragraph" w:styleId="7">
    <w:name w:val="Body Text"/>
    <w:basedOn w:val="1"/>
    <w:qFormat/>
    <w:uiPriority w:val="1"/>
    <w:rPr>
      <w:rFonts w:ascii="华文仿宋" w:hAnsi="华文仿宋" w:eastAsia="华文仿宋" w:cs="华文仿宋"/>
      <w:sz w:val="32"/>
      <w:szCs w:val="32"/>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Body Text First Indent 2"/>
    <w:basedOn w:val="8"/>
    <w:next w:val="1"/>
    <w:unhideWhenUsed/>
    <w:qFormat/>
    <w:uiPriority w:val="99"/>
    <w:pPr>
      <w:ind w:firstLine="420" w:firstLineChars="200"/>
    </w:pPr>
    <w:rPr>
      <w:rFonts w:ascii="Calibri" w:hAnsi="Calibri"/>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2"/>
      <w:ind w:left="106" w:right="273" w:firstLine="640"/>
      <w:jc w:val="both"/>
    </w:pPr>
    <w:rPr>
      <w:rFonts w:ascii="仿宋_GB2312" w:hAnsi="仿宋_GB2312" w:eastAsia="仿宋_GB2312" w:cs="仿宋_GB2312"/>
    </w:rPr>
  </w:style>
  <w:style w:type="paragraph" w:customStyle="1" w:styleId="16">
    <w:name w:val="Table Paragraph"/>
    <w:basedOn w:val="1"/>
    <w:qFormat/>
    <w:uiPriority w:val="1"/>
  </w:style>
  <w:style w:type="character" w:customStyle="1" w:styleId="17">
    <w:name w:val="font41"/>
    <w:basedOn w:val="13"/>
    <w:qFormat/>
    <w:uiPriority w:val="0"/>
    <w:rPr>
      <w:rFonts w:hint="eastAsia" w:ascii="宋体" w:hAnsi="宋体" w:eastAsia="宋体" w:cs="宋体"/>
      <w:b/>
      <w:color w:val="000000"/>
      <w:sz w:val="18"/>
      <w:szCs w:val="18"/>
      <w:u w:val="none"/>
    </w:rPr>
  </w:style>
  <w:style w:type="character" w:customStyle="1" w:styleId="18">
    <w:name w:val="font71"/>
    <w:basedOn w:val="13"/>
    <w:qFormat/>
    <w:uiPriority w:val="0"/>
    <w:rPr>
      <w:rFonts w:hint="eastAsia" w:ascii="宋体" w:hAnsi="宋体" w:eastAsia="宋体" w:cs="宋体"/>
      <w:color w:val="000000"/>
      <w:sz w:val="18"/>
      <w:szCs w:val="18"/>
      <w:u w:val="none"/>
    </w:rPr>
  </w:style>
  <w:style w:type="character" w:customStyle="1" w:styleId="19">
    <w:name w:val="font21"/>
    <w:basedOn w:val="13"/>
    <w:qFormat/>
    <w:uiPriority w:val="0"/>
    <w:rPr>
      <w:rFonts w:hint="eastAsia" w:ascii="宋体" w:hAnsi="宋体" w:eastAsia="宋体" w:cs="宋体"/>
      <w:b/>
      <w:color w:val="000000"/>
      <w:sz w:val="18"/>
      <w:szCs w:val="18"/>
      <w:u w:val="none"/>
    </w:rPr>
  </w:style>
  <w:style w:type="character" w:customStyle="1" w:styleId="20">
    <w:name w:val="font01"/>
    <w:basedOn w:val="13"/>
    <w:qFormat/>
    <w:uiPriority w:val="0"/>
    <w:rPr>
      <w:rFonts w:hint="eastAsia" w:ascii="宋体" w:hAnsi="宋体" w:eastAsia="宋体" w:cs="宋体"/>
      <w:color w:val="000000"/>
      <w:sz w:val="18"/>
      <w:szCs w:val="18"/>
      <w:u w:val="none"/>
    </w:rPr>
  </w:style>
  <w:style w:type="character" w:customStyle="1" w:styleId="21">
    <w:name w:val="font31"/>
    <w:basedOn w:val="13"/>
    <w:qFormat/>
    <w:uiPriority w:val="0"/>
    <w:rPr>
      <w:rFonts w:hint="eastAsia" w:ascii="宋体" w:hAnsi="宋体" w:eastAsia="宋体" w:cs="宋体"/>
      <w:color w:val="000000"/>
      <w:sz w:val="18"/>
      <w:szCs w:val="18"/>
      <w:u w:val="none"/>
    </w:rPr>
  </w:style>
  <w:style w:type="paragraph" w:customStyle="1" w:styleId="22">
    <w:name w:val=" Char"/>
    <w:basedOn w:val="1"/>
    <w:qFormat/>
    <w:uiPriority w:val="0"/>
    <w:pPr>
      <w:autoSpaceDE/>
      <w:autoSpaceDN/>
      <w:spacing w:line="360" w:lineRule="auto"/>
      <w:ind w:firstLine="200" w:firstLineChars="200"/>
      <w:jc w:val="both"/>
    </w:pPr>
    <w:rPr>
      <w:kern w:val="2"/>
      <w:sz w:val="24"/>
      <w:szCs w:val="20"/>
      <w:lang w:val="en-US" w:bidi="ar-SA"/>
    </w:rPr>
  </w:style>
  <w:style w:type="character" w:customStyle="1" w:styleId="23">
    <w:name w:val="文档结构图 Char"/>
    <w:basedOn w:val="13"/>
    <w:link w:val="6"/>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3384</Words>
  <Characters>19290</Characters>
  <Lines>160</Lines>
  <Paragraphs>45</Paragraphs>
  <TotalTime>11</TotalTime>
  <ScaleCrop>false</ScaleCrop>
  <LinksUpToDate>false</LinksUpToDate>
  <CharactersWithSpaces>22629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2022-03-17T09:08:00Z</dcterms:created>
  <dc:creator>张沛(012327-012327)</dc:creator>
  <cp:lastModifiedBy>zty</cp:lastModifiedBy>
  <cp:lastPrinted>2023-03-12T09:26:00Z</cp:lastPrinted>
  <dcterms:modified xsi:type="dcterms:W3CDTF">2025-06-03T10:19:45Z</dcterms:modified>
  <dc:title>宁夏回族自治区******2019年部门预算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2022-01-30T00:00:00Z</vt:filetime>
  </property>
  <property fmtid="{D5CDD505-2E9C-101B-9397-08002B2CF9AE}" pid="3" name="Creator">
    <vt:lpwstr>WPS Office</vt:lpwstr>
  </property>
  <property fmtid="{D5CDD505-2E9C-101B-9397-08002B2CF9AE}" pid="4" name="LastSaved">
    <vt:filetime>2022-03-09T00:00:00Z</vt:filetime>
  </property>
  <property fmtid="{D5CDD505-2E9C-101B-9397-08002B2CF9AE}" pid="5" name="KSOProductBuildVer">
    <vt:lpwstr>2052-11.8.2.10125</vt:lpwstr>
  </property>
</Properties>
</file>