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4"/>
      </w:pPr>
      <w:r>
        <w:t>宁夏宁东能源化工基地管理委员会社会事务局本级2026年部门预算公开</w:t>
      </w: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p>
    <w:p>
      <w:pPr>
        <w:pStyle w:val="168"/>
        <w:jc w:val="center"/>
      </w:pPr>
      <w:r>
        <w:t>二〇二六年二月</w:t>
      </w:r>
    </w:p>
    <w:p>
      <w:pPr>
        <w:keepNext w:val="0"/>
        <w:keepLines w:val="0"/>
        <w:widowControl/>
        <w:suppressLineNumbers w:val="0"/>
        <w:jc w:val="left"/>
        <w:rPr>
          <w:rFonts w:hint="eastAsia" w:ascii="宋体" w:hAnsi="宋体" w:eastAsia="宋体" w:cs="宋体"/>
          <w:color w:val="000000"/>
          <w:kern w:val="0"/>
          <w:sz w:val="44"/>
          <w:szCs w:val="44"/>
          <w:lang w:val="en-US" w:eastAsia="zh-CN" w:bidi="ar"/>
        </w:rPr>
      </w:pPr>
    </w:p>
    <w:p>
      <w:pPr>
        <w:keepNext w:val="0"/>
        <w:keepLines w:val="0"/>
        <w:widowControl/>
        <w:suppressLineNumbers w:val="0"/>
        <w:jc w:val="center"/>
      </w:pPr>
      <w:r>
        <w:rPr>
          <w:rFonts w:hint="eastAsia" w:ascii="宋体" w:hAnsi="宋体" w:eastAsia="宋体" w:cs="宋体"/>
          <w:color w:val="000000"/>
          <w:kern w:val="0"/>
          <w:sz w:val="44"/>
          <w:szCs w:val="44"/>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rPr>
          <w:b/>
          <w:bCs/>
        </w:rPr>
      </w:pPr>
      <w:r>
        <w:rPr>
          <w:rFonts w:ascii="仿宋" w:hAnsi="仿宋" w:eastAsia="仿宋" w:cs="仿宋"/>
          <w:b/>
          <w:bCs/>
          <w:color w:val="000000"/>
          <w:kern w:val="0"/>
          <w:sz w:val="32"/>
          <w:szCs w:val="32"/>
          <w:lang w:val="en-US" w:eastAsia="zh-CN" w:bidi="ar"/>
        </w:rPr>
        <w:t xml:space="preserve">第一部分 单位概况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一、主要职能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二、部门预算单位构成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三、2026年度部门主要工作任务及目标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rPr>
          <w:b/>
          <w:bCs/>
        </w:rPr>
      </w:pPr>
      <w:r>
        <w:rPr>
          <w:rFonts w:hint="eastAsia" w:ascii="仿宋" w:hAnsi="仿宋" w:eastAsia="仿宋" w:cs="仿宋"/>
          <w:b/>
          <w:bCs/>
          <w:color w:val="000000"/>
          <w:kern w:val="0"/>
          <w:sz w:val="32"/>
          <w:szCs w:val="32"/>
          <w:lang w:val="en-US" w:eastAsia="zh-CN" w:bidi="ar"/>
        </w:rPr>
        <w:t xml:space="preserve">第二部分 2026年部门预算表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一、收支总表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二、收入总表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三、支出总表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四、财政拨款收支总表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五、财政拨款支出预算总表（功能科目）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六、财政拨款基本支出表（经济科目）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七、一般公共预算支出表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八、一般公共预算基本支出表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九、一般公共预算“三公”经费、会议费、培训费、差旅</w:t>
      </w:r>
    </w:p>
    <w:p>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pPr>
      <w:r>
        <w:rPr>
          <w:rFonts w:hint="eastAsia" w:ascii="仿宋" w:hAnsi="仿宋" w:eastAsia="仿宋" w:cs="仿宋"/>
          <w:color w:val="000000"/>
          <w:kern w:val="0"/>
          <w:sz w:val="32"/>
          <w:szCs w:val="32"/>
          <w:lang w:val="en-US" w:eastAsia="zh-CN" w:bidi="ar"/>
        </w:rPr>
        <w:t xml:space="preserve">费等 支出表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十、政府性基金预算支出表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十一、一般公共预算机关运行经费支出预算表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color w:val="000000"/>
          <w:kern w:val="0"/>
          <w:sz w:val="32"/>
          <w:szCs w:val="32"/>
          <w:lang w:val="en-US" w:eastAsia="zh-CN" w:bidi="ar"/>
        </w:rPr>
        <w:t xml:space="preserve">十二、政府采购支出表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pPr>
      <w:r>
        <w:rPr>
          <w:rFonts w:hint="eastAsia" w:ascii="仿宋" w:hAnsi="仿宋" w:eastAsia="仿宋" w:cs="仿宋"/>
          <w:b/>
          <w:bCs/>
          <w:color w:val="000000"/>
          <w:kern w:val="0"/>
          <w:sz w:val="32"/>
          <w:szCs w:val="32"/>
          <w:lang w:val="en-US" w:eastAsia="zh-CN" w:bidi="ar"/>
        </w:rPr>
        <w:t>第三部分 2026年部门预算情况说明</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480" w:leftChars="200"/>
        <w:jc w:val="left"/>
        <w:textAlignment w:val="auto"/>
        <w:rPr>
          <w:b/>
          <w:bCs/>
        </w:rPr>
      </w:pPr>
      <w:r>
        <w:rPr>
          <w:rFonts w:hint="eastAsia" w:ascii="仿宋" w:hAnsi="仿宋" w:eastAsia="仿宋" w:cs="仿宋"/>
          <w:b/>
          <w:bCs/>
          <w:color w:val="000000"/>
          <w:kern w:val="0"/>
          <w:sz w:val="32"/>
          <w:szCs w:val="32"/>
          <w:lang w:val="en-US" w:eastAsia="zh-CN" w:bidi="ar"/>
        </w:rPr>
        <w:t>第四部分 名词解释</w:t>
      </w:r>
    </w:p>
    <w:p>
      <w:pPr>
        <w:pStyle w:val="165"/>
        <w:ind w:firstLine="642" w:firstLineChars="200"/>
      </w:pPr>
      <w:r>
        <w:t>第一部分 单位概况</w:t>
      </w:r>
    </w:p>
    <w:p>
      <w:pPr>
        <w:pStyle w:val="166"/>
        <w:ind w:firstLine="562" w:firstLineChars="200"/>
      </w:pPr>
      <w:r>
        <w:t>一、主要职能</w:t>
      </w:r>
    </w:p>
    <w:p>
      <w:pPr>
        <w:pStyle w:val="168"/>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负责市级教育、文化、卫生、体育、民政、司法等社会保障和社会事务管理工作。负责市级农业、文化市场、劳动保障等监督检查工作。负责统战、法制、宗教、信访工作。协调政法工作。</w:t>
      </w:r>
    </w:p>
    <w:p>
      <w:pPr>
        <w:pStyle w:val="166"/>
        <w:ind w:firstLine="562" w:firstLineChars="200"/>
      </w:pPr>
      <w:r>
        <w:t>二、部门预算单位构成</w:t>
      </w:r>
    </w:p>
    <w:p>
      <w:pPr>
        <w:pStyle w:val="169"/>
        <w:ind w:left="0" w:leftChars="0" w:firstLine="640" w:firstLineChars="20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1</w:t>
      </w:r>
      <w:r>
        <w:rPr>
          <w:rFonts w:hint="eastAsia" w:ascii="国标仿宋-GB/T 2312" w:hAnsi="国标仿宋-GB/T 2312" w:eastAsia="国标仿宋-GB/T 2312" w:cs="国标仿宋-GB/T 2312"/>
          <w:sz w:val="32"/>
          <w:szCs w:val="32"/>
        </w:rPr>
        <w:t>.从预算部门构成看，宁夏宁东能源化工基地管理委员会社会事务局本级部门</w:t>
      </w:r>
    </w:p>
    <w:p>
      <w:pPr>
        <w:pStyle w:val="169"/>
        <w:ind w:left="0" w:leftChars="0" w:firstLine="640" w:firstLineChars="200"/>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rPr>
        <w:t>预算包括：宁夏宁东能源化工基地管理委员会社会事务局本级预算</w:t>
      </w:r>
      <w:r>
        <w:rPr>
          <w:rFonts w:hint="eastAsia" w:ascii="国标仿宋-GB/T 2312" w:hAnsi="国标仿宋-GB/T 2312" w:eastAsia="国标仿宋-GB/T 2312" w:cs="国标仿宋-GB/T 2312"/>
          <w:sz w:val="32"/>
          <w:szCs w:val="32"/>
          <w:lang w:eastAsia="zh-CN"/>
        </w:rPr>
        <w:t>、</w:t>
      </w:r>
      <w:r>
        <w:rPr>
          <w:rFonts w:hint="eastAsia" w:ascii="国标仿宋-GB/T 2312" w:hAnsi="国标仿宋-GB/T 2312" w:eastAsia="国标仿宋-GB/T 2312" w:cs="国标仿宋-GB/T 2312"/>
          <w:sz w:val="32"/>
          <w:szCs w:val="32"/>
          <w:lang w:val="en-US" w:eastAsia="zh-CN"/>
        </w:rPr>
        <w:t>宁东营商环境法治工作中心工作经费预算、宁东基地人民武装委员会工作经费预算。</w:t>
      </w:r>
    </w:p>
    <w:p>
      <w:pPr>
        <w:pStyle w:val="166"/>
        <w:ind w:firstLine="562" w:firstLineChars="200"/>
      </w:pPr>
      <w:r>
        <w:t>三、2026年度部门主要工作任务及目标</w:t>
      </w:r>
    </w:p>
    <w:p>
      <w:pPr>
        <w:pStyle w:val="168"/>
        <w:rPr>
          <w:rFonts w:hint="eastAsia" w:ascii="国标仿宋-GB/T 2312" w:hAnsi="国标仿宋-GB/T 2312" w:eastAsia="国标仿宋-GB/T 2312" w:cs="国标仿宋-GB/T 2312"/>
          <w:sz w:val="32"/>
          <w:szCs w:val="32"/>
          <w:lang w:eastAsia="zh-CN"/>
        </w:rPr>
      </w:pPr>
      <w:r>
        <w:rPr>
          <w:rFonts w:hint="eastAsia" w:ascii="国标仿宋-GB/T 2312" w:hAnsi="国标仿宋-GB/T 2312" w:eastAsia="国标仿宋-GB/T 2312" w:cs="国标仿宋-GB/T 2312"/>
          <w:sz w:val="32"/>
          <w:szCs w:val="32"/>
          <w:lang w:val="en-US" w:eastAsia="zh-CN"/>
        </w:rPr>
        <w:t>1.铸牢中华民族共同体意识，</w:t>
      </w:r>
      <w:r>
        <w:rPr>
          <w:rFonts w:hint="eastAsia" w:ascii="国标仿宋-GB/T 2312" w:hAnsi="国标仿宋-GB/T 2312" w:eastAsia="国标仿宋-GB/T 2312" w:cs="国标仿宋-GB/T 2312"/>
          <w:sz w:val="32"/>
          <w:szCs w:val="32"/>
        </w:rPr>
        <w:t>抓实</w:t>
      </w:r>
      <w:r>
        <w:rPr>
          <w:rFonts w:hint="eastAsia" w:ascii="国标仿宋-GB/T 2312" w:hAnsi="国标仿宋-GB/T 2312" w:eastAsia="国标仿宋-GB/T 2312" w:cs="国标仿宋-GB/T 2312"/>
          <w:sz w:val="32"/>
          <w:szCs w:val="32"/>
          <w:lang w:val="en-US" w:eastAsia="zh-CN"/>
        </w:rPr>
        <w:t>铸牢中华民族共同体意识</w:t>
      </w:r>
      <w:r>
        <w:rPr>
          <w:rFonts w:hint="eastAsia" w:ascii="国标仿宋-GB/T 2312" w:hAnsi="国标仿宋-GB/T 2312" w:eastAsia="国标仿宋-GB/T 2312" w:cs="国标仿宋-GB/T 2312"/>
          <w:sz w:val="32"/>
          <w:szCs w:val="32"/>
        </w:rPr>
        <w:t>示范区建设工作，打造宁东</w:t>
      </w:r>
      <w:r>
        <w:rPr>
          <w:rFonts w:hint="eastAsia" w:ascii="国标仿宋-GB/T 2312" w:hAnsi="国标仿宋-GB/T 2312" w:eastAsia="国标仿宋-GB/T 2312" w:cs="国标仿宋-GB/T 2312"/>
          <w:sz w:val="32"/>
          <w:szCs w:val="32"/>
          <w:lang w:val="en-US" w:eastAsia="zh-CN"/>
        </w:rPr>
        <w:t>铸牢中华民族共同体意识</w:t>
      </w:r>
      <w:r>
        <w:rPr>
          <w:rFonts w:hint="eastAsia" w:ascii="国标仿宋-GB/T 2312" w:hAnsi="国标仿宋-GB/T 2312" w:eastAsia="国标仿宋-GB/T 2312" w:cs="国标仿宋-GB/T 2312"/>
          <w:sz w:val="32"/>
          <w:szCs w:val="32"/>
        </w:rPr>
        <w:t>品牌</w:t>
      </w:r>
      <w:r>
        <w:rPr>
          <w:rFonts w:hint="eastAsia" w:ascii="国标仿宋-GB/T 2312" w:hAnsi="国标仿宋-GB/T 2312" w:eastAsia="国标仿宋-GB/T 2312" w:cs="国标仿宋-GB/T 2312"/>
          <w:sz w:val="32"/>
          <w:szCs w:val="32"/>
          <w:lang w:eastAsia="zh-CN"/>
        </w:rPr>
        <w:t>。</w:t>
      </w:r>
    </w:p>
    <w:p>
      <w:pPr>
        <w:pStyle w:val="168"/>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2.开展平安建设工作，推动宗教事务治理法治化；加强主播、新媒体等互联网就业群体的管理；全面落实未成年人保护专项行动。</w:t>
      </w:r>
    </w:p>
    <w:p>
      <w:pPr>
        <w:pStyle w:val="168"/>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3.法治工作，抓好《宁东基地推行涉企行政检查“综合查一次”工作实施方案》的落实；开展执法人员轮训。</w:t>
      </w:r>
    </w:p>
    <w:p>
      <w:pPr>
        <w:pStyle w:val="168"/>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4.医疗卫生工作，提升医疗急救能力，推进紧密型医联体建设，提升园区卫生健康能力。</w:t>
      </w:r>
    </w:p>
    <w:p>
      <w:pPr>
        <w:pStyle w:val="168"/>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5.教育工作，推动教育综合改革，构建健全完善的学前教育、小、初一体化管理体系，不断提升宁东教育质量和办学水平。</w:t>
      </w:r>
    </w:p>
    <w:p>
      <w:pPr>
        <w:pStyle w:val="168"/>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6.文化体育旅游工作，完善群众体育设施，丰富群众文化活动。</w:t>
      </w:r>
    </w:p>
    <w:p>
      <w:pPr>
        <w:pStyle w:val="168"/>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7.信访工作，开展民生领域信访问题集中治理工作。</w:t>
      </w:r>
    </w:p>
    <w:p>
      <w:pPr>
        <w:pStyle w:val="168"/>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8.人力资源和社会保障工作，支持高校毕业生就业；组织开展专项执法检查活动；开展补贴性职业技能培训；提高全区城乡居民最低生活保障标准。</w:t>
      </w:r>
    </w:p>
    <w:p>
      <w:pPr>
        <w:keepNext w:val="0"/>
        <w:keepLines w:val="0"/>
        <w:widowControl/>
        <w:suppressLineNumbers w:val="0"/>
        <w:ind w:firstLine="640" w:firstLineChars="200"/>
        <w:jc w:val="center"/>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40" w:firstLineChars="200"/>
        <w:jc w:val="center"/>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40" w:firstLineChars="20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第二部分 2026年度宁夏宁东能源化工基地管理委员会社会事务局本级部门预算表</w:t>
      </w:r>
    </w:p>
    <w:p>
      <w:pPr>
        <w:keepNext w:val="0"/>
        <w:keepLines w:val="0"/>
        <w:widowControl/>
        <w:suppressLineNumbers w:val="0"/>
        <w:jc w:val="left"/>
        <w:rPr>
          <w:rFonts w:hint="eastAsia" w:ascii="仿宋" w:hAnsi="仿宋" w:eastAsia="仿宋" w:cs="仿宋"/>
          <w:b w:val="0"/>
          <w:bCs/>
          <w:sz w:val="32"/>
          <w:szCs w:val="32"/>
        </w:rPr>
      </w:pPr>
      <w:r>
        <w:rPr>
          <w:rFonts w:hint="eastAsia" w:ascii="仿宋" w:hAnsi="仿宋" w:eastAsia="仿宋" w:cs="仿宋"/>
          <w:sz w:val="32"/>
          <w:szCs w:val="32"/>
          <w:lang w:val="en-US" w:eastAsia="zh-CN" w:bidi="ar-SA"/>
        </w:rPr>
        <w:t>公开01表</w:t>
      </w:r>
    </w:p>
    <w:p>
      <w:pPr>
        <w:pStyle w:val="166"/>
        <w:ind w:firstLine="1600" w:firstLineChars="500"/>
        <w:jc w:val="center"/>
        <w:rPr>
          <w:rFonts w:hint="eastAsia" w:ascii="仿宋" w:hAnsi="仿宋" w:eastAsia="仿宋" w:cs="仿宋"/>
          <w:b w:val="0"/>
          <w:bCs/>
          <w:sz w:val="32"/>
          <w:szCs w:val="32"/>
        </w:rPr>
      </w:pPr>
      <w:bookmarkStart w:id="0" w:name="_GoBack"/>
      <w:bookmarkEnd w:id="0"/>
      <w:r>
        <w:rPr>
          <w:rFonts w:hint="eastAsia" w:ascii="仿宋" w:hAnsi="仿宋" w:eastAsia="仿宋" w:cs="仿宋"/>
          <w:b w:val="0"/>
          <w:bCs/>
          <w:sz w:val="32"/>
          <w:szCs w:val="32"/>
        </w:rPr>
        <w:t>收支总表</w:t>
      </w:r>
      <w:r>
        <w:rPr>
          <w:rFonts w:hint="eastAsia" w:ascii="仿宋" w:hAnsi="仿宋" w:eastAsia="仿宋" w:cs="仿宋"/>
          <w:sz w:val="32"/>
          <w:szCs w:val="32"/>
          <w:lang w:val="en-US" w:eastAsia="zh-CN"/>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单位：万元</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8"/>
        <w:gridCol w:w="1050"/>
        <w:gridCol w:w="297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收 入</w:t>
            </w:r>
          </w:p>
        </w:tc>
        <w:tc>
          <w:tcPr>
            <w:tcW w:w="1050" w:type="dxa"/>
          </w:tcPr>
          <w:p>
            <w:pPr>
              <w:spacing w:after="0" w:line="240" w:lineRule="auto"/>
              <w:jc w:val="center"/>
              <w:rPr>
                <w:rFonts w:hint="eastAsia" w:ascii="仿宋" w:hAnsi="仿宋" w:eastAsia="仿宋" w:cs="仿宋"/>
              </w:rPr>
            </w:pPr>
            <w:r>
              <w:rPr>
                <w:rFonts w:hint="eastAsia" w:ascii="仿宋" w:hAnsi="仿宋" w:eastAsia="仿宋" w:cs="仿宋"/>
              </w:rPr>
              <w:t>预算数</w:t>
            </w:r>
          </w:p>
        </w:tc>
        <w:tc>
          <w:tcPr>
            <w:tcW w:w="2970" w:type="dxa"/>
          </w:tcPr>
          <w:p>
            <w:pPr>
              <w:spacing w:after="0" w:line="240" w:lineRule="auto"/>
              <w:jc w:val="center"/>
              <w:rPr>
                <w:rFonts w:hint="eastAsia" w:ascii="仿宋" w:hAnsi="仿宋" w:eastAsia="仿宋" w:cs="仿宋"/>
              </w:rPr>
            </w:pPr>
            <w:r>
              <w:rPr>
                <w:rFonts w:hint="eastAsia" w:ascii="仿宋" w:hAnsi="仿宋" w:eastAsia="仿宋" w:cs="仿宋"/>
              </w:rPr>
              <w:t>支 出</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一、财政拨款预算收入</w:t>
            </w:r>
          </w:p>
        </w:tc>
        <w:tc>
          <w:tcPr>
            <w:tcW w:w="1050" w:type="dxa"/>
          </w:tcPr>
          <w:p>
            <w:pPr>
              <w:spacing w:after="0" w:line="240" w:lineRule="auto"/>
              <w:jc w:val="center"/>
              <w:rPr>
                <w:rFonts w:hint="eastAsia" w:ascii="仿宋" w:hAnsi="仿宋" w:eastAsia="仿宋" w:cs="仿宋"/>
              </w:rPr>
            </w:pPr>
            <w:r>
              <w:rPr>
                <w:rFonts w:hint="eastAsia" w:ascii="仿宋" w:hAnsi="仿宋" w:eastAsia="仿宋" w:cs="仿宋"/>
              </w:rPr>
              <w:t>745.70</w:t>
            </w: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一、本年支出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(1)一般公共预算</w:t>
            </w:r>
          </w:p>
        </w:tc>
        <w:tc>
          <w:tcPr>
            <w:tcW w:w="1050" w:type="dxa"/>
          </w:tcPr>
          <w:p>
            <w:pPr>
              <w:spacing w:after="0" w:line="240" w:lineRule="auto"/>
              <w:jc w:val="center"/>
              <w:rPr>
                <w:rFonts w:hint="eastAsia" w:ascii="仿宋" w:hAnsi="仿宋" w:eastAsia="仿宋" w:cs="仿宋"/>
              </w:rPr>
            </w:pPr>
            <w:r>
              <w:rPr>
                <w:rFonts w:hint="eastAsia" w:ascii="仿宋" w:hAnsi="仿宋" w:eastAsia="仿宋" w:cs="仿宋"/>
              </w:rPr>
              <w:t>745.70</w:t>
            </w: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(一)一般公共服务支出</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157.00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228" w:type="dxa"/>
          </w:tcPr>
          <w:p>
            <w:pPr>
              <w:spacing w:after="0" w:line="240" w:lineRule="auto"/>
              <w:jc w:val="center"/>
              <w:rPr>
                <w:rFonts w:hint="eastAsia" w:ascii="仿宋" w:hAnsi="仿宋" w:eastAsia="仿宋" w:cs="仿宋"/>
                <w:lang w:val="en-US" w:eastAsia="zh-CN"/>
              </w:rPr>
            </w:pPr>
            <w:r>
              <w:rPr>
                <w:rFonts w:hint="eastAsia" w:ascii="仿宋" w:hAnsi="仿宋" w:eastAsia="仿宋" w:cs="仿宋"/>
                <w:lang w:val="en-US" w:eastAsia="zh-CN"/>
              </w:rPr>
              <w:t xml:space="preserve">   (2)政府性基金预算</w:t>
            </w: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(二)外交支出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lang w:val="en-US" w:eastAsia="zh-CN"/>
              </w:rPr>
            </w:pPr>
            <w:r>
              <w:rPr>
                <w:rFonts w:hint="eastAsia" w:ascii="仿宋" w:hAnsi="仿宋" w:eastAsia="仿宋" w:cs="仿宋"/>
                <w:lang w:val="en-US" w:eastAsia="zh-CN"/>
              </w:rPr>
              <w:t xml:space="preserve">     (3)国有资本经营预算</w:t>
            </w: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(三)国防支出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二、财政专户管理资金</w:t>
            </w: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(四)公共安全支出</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三、事业预算收入</w:t>
            </w: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(五)教育支出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四、上级补助预算收入</w:t>
            </w: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(六)科学技术支出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五、附属单位上缴预算收入</w:t>
            </w: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(七)文化旅游体育与传媒支出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六、经营预算收入</w:t>
            </w: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(八)社会保障和就业支出</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423.70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七、其他预算收入</w:t>
            </w: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(九)社会保险基金支出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(十)卫生健康支出</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303.23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(十一)节能环保支出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(十二)城乡社区支出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(十三)农林水支出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(十四)交通运输支出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(十五)资源勘探工业信息等支出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(十六)商业服务业等支出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(十七)金融支出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(十九)援助其他地区支出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(二十)自然资源海洋气象等支出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(二十一)住房保障支出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(二十二)粮油物资储备支出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(二十三)国有资本经营预算支出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(二十四)灾害防治及应急管理支出</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(二十七)预备费</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(二十九)其他支出</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(三十)转移性支出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(三十一)债务还本支出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(三十二)债务付息支出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(三十三)债务发行费用支出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p>
        </w:tc>
        <w:tc>
          <w:tcPr>
            <w:tcW w:w="1050" w:type="dxa"/>
          </w:tcPr>
          <w:p>
            <w:pPr>
              <w:spacing w:after="0" w:line="240" w:lineRule="auto"/>
              <w:jc w:val="center"/>
              <w:rPr>
                <w:rFonts w:hint="eastAsia" w:ascii="仿宋" w:hAnsi="仿宋" w:eastAsia="仿宋" w:cs="仿宋"/>
              </w:rPr>
            </w:pP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(三十四)抗疫特别国债安排的支出</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本年收入小计</w:t>
            </w:r>
          </w:p>
        </w:tc>
        <w:tc>
          <w:tcPr>
            <w:tcW w:w="1050" w:type="dxa"/>
          </w:tcPr>
          <w:p>
            <w:pPr>
              <w:spacing w:after="0" w:line="240" w:lineRule="auto"/>
              <w:jc w:val="center"/>
              <w:rPr>
                <w:rFonts w:hint="eastAsia" w:ascii="仿宋" w:hAnsi="仿宋" w:eastAsia="仿宋" w:cs="仿宋"/>
              </w:rPr>
            </w:pPr>
            <w:r>
              <w:rPr>
                <w:rFonts w:hint="eastAsia" w:ascii="仿宋" w:hAnsi="仿宋" w:eastAsia="仿宋" w:cs="仿宋"/>
              </w:rPr>
              <w:t>745.70</w:t>
            </w: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本年支出小计</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1031.93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八、上年结转结余</w:t>
            </w:r>
          </w:p>
        </w:tc>
        <w:tc>
          <w:tcPr>
            <w:tcW w:w="1050" w:type="dxa"/>
          </w:tcPr>
          <w:p>
            <w:pPr>
              <w:spacing w:after="0" w:line="240" w:lineRule="auto"/>
              <w:jc w:val="center"/>
              <w:rPr>
                <w:rFonts w:hint="eastAsia" w:ascii="仿宋" w:hAnsi="仿宋" w:eastAsia="仿宋" w:cs="仿宋"/>
              </w:rPr>
            </w:pPr>
            <w:r>
              <w:rPr>
                <w:rFonts w:hint="eastAsia" w:ascii="仿宋" w:hAnsi="仿宋" w:eastAsia="仿宋" w:cs="仿宋"/>
              </w:rPr>
              <w:t>286.23</w:t>
            </w:r>
          </w:p>
        </w:tc>
        <w:tc>
          <w:tcPr>
            <w:tcW w:w="2970" w:type="dxa"/>
          </w:tcPr>
          <w:p>
            <w:pPr>
              <w:spacing w:after="0" w:line="240" w:lineRule="auto"/>
              <w:jc w:val="left"/>
              <w:rPr>
                <w:rFonts w:hint="eastAsia" w:ascii="仿宋" w:hAnsi="仿宋" w:eastAsia="仿宋" w:cs="仿宋"/>
              </w:rPr>
            </w:pPr>
            <w:r>
              <w:rPr>
                <w:rFonts w:hint="eastAsia" w:ascii="仿宋" w:hAnsi="仿宋" w:eastAsia="仿宋" w:cs="仿宋"/>
              </w:rPr>
              <w:t>二、年末结转结余</w:t>
            </w:r>
          </w:p>
        </w:tc>
        <w:tc>
          <w:tcPr>
            <w:tcW w:w="1392" w:type="dxa"/>
          </w:tcPr>
          <w:p>
            <w:pPr>
              <w:spacing w:after="0" w:line="24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8" w:type="dxa"/>
          </w:tcPr>
          <w:p>
            <w:pPr>
              <w:spacing w:after="0" w:line="240" w:lineRule="auto"/>
              <w:jc w:val="center"/>
              <w:rPr>
                <w:rFonts w:hint="eastAsia" w:ascii="仿宋" w:hAnsi="仿宋" w:eastAsia="仿宋" w:cs="仿宋"/>
              </w:rPr>
            </w:pPr>
            <w:r>
              <w:rPr>
                <w:rFonts w:hint="eastAsia" w:ascii="仿宋" w:hAnsi="仿宋" w:eastAsia="仿宋" w:cs="仿宋"/>
              </w:rPr>
              <w:t>收 入 总 计</w:t>
            </w:r>
          </w:p>
        </w:tc>
        <w:tc>
          <w:tcPr>
            <w:tcW w:w="1050" w:type="dxa"/>
          </w:tcPr>
          <w:p>
            <w:pPr>
              <w:spacing w:after="0" w:line="240" w:lineRule="auto"/>
              <w:jc w:val="center"/>
              <w:rPr>
                <w:rFonts w:hint="eastAsia" w:ascii="仿宋" w:hAnsi="仿宋" w:eastAsia="仿宋" w:cs="仿宋"/>
              </w:rPr>
            </w:pPr>
            <w:r>
              <w:rPr>
                <w:rFonts w:hint="eastAsia" w:ascii="仿宋" w:hAnsi="仿宋" w:eastAsia="仿宋" w:cs="仿宋"/>
              </w:rPr>
              <w:t>1031.93</w:t>
            </w:r>
          </w:p>
        </w:tc>
        <w:tc>
          <w:tcPr>
            <w:tcW w:w="2970" w:type="dxa"/>
          </w:tcPr>
          <w:p>
            <w:pPr>
              <w:spacing w:after="0" w:line="240" w:lineRule="auto"/>
              <w:jc w:val="center"/>
              <w:rPr>
                <w:rFonts w:hint="eastAsia" w:ascii="仿宋" w:hAnsi="仿宋" w:eastAsia="仿宋" w:cs="仿宋"/>
              </w:rPr>
            </w:pPr>
            <w:r>
              <w:rPr>
                <w:rFonts w:hint="eastAsia" w:ascii="仿宋" w:hAnsi="仿宋" w:eastAsia="仿宋" w:cs="仿宋"/>
              </w:rPr>
              <w:t>支 出 总 计</w:t>
            </w:r>
          </w:p>
        </w:tc>
        <w:tc>
          <w:tcPr>
            <w:tcW w:w="1392" w:type="dxa"/>
          </w:tcPr>
          <w:p>
            <w:pPr>
              <w:spacing w:after="0" w:line="240" w:lineRule="auto"/>
              <w:jc w:val="center"/>
              <w:rPr>
                <w:rFonts w:hint="eastAsia" w:ascii="仿宋" w:hAnsi="仿宋" w:eastAsia="仿宋" w:cs="仿宋"/>
              </w:rPr>
            </w:pPr>
            <w:r>
              <w:rPr>
                <w:rFonts w:hint="eastAsia" w:ascii="仿宋" w:hAnsi="仿宋" w:eastAsia="仿宋" w:cs="仿宋"/>
              </w:rPr>
              <w:t>1031.93</w:t>
            </w:r>
          </w:p>
        </w:tc>
      </w:tr>
    </w:tbl>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p>
    <w:p>
      <w:pPr>
        <w:pStyle w:val="166"/>
        <w:jc w:val="center"/>
        <w:rPr>
          <w:rFonts w:hint="eastAsia" w:ascii="仿宋" w:hAnsi="仿宋" w:eastAsia="仿宋" w:cs="仿宋"/>
          <w:b w:val="0"/>
          <w:bCs/>
          <w:sz w:val="32"/>
          <w:szCs w:val="32"/>
        </w:rPr>
      </w:pPr>
      <w:r>
        <w:rPr>
          <w:rFonts w:hint="eastAsia" w:ascii="仿宋" w:hAnsi="仿宋" w:eastAsia="仿宋" w:cs="仿宋"/>
          <w:b w:val="0"/>
          <w:bCs/>
          <w:sz w:val="32"/>
          <w:szCs w:val="32"/>
        </w:rPr>
        <w:t>收入总表</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bidi="ar-SA"/>
        </w:rPr>
        <w:t>公开02表</w:t>
      </w:r>
    </w:p>
    <w:p>
      <w:pPr>
        <w:pStyle w:val="17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单位：万元</w:t>
      </w:r>
    </w:p>
    <w:tbl>
      <w:tblPr>
        <w:tblStyle w:val="3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0"/>
        <w:gridCol w:w="1245"/>
        <w:gridCol w:w="762"/>
        <w:gridCol w:w="1023"/>
        <w:gridCol w:w="1080"/>
        <w:gridCol w:w="1050"/>
        <w:gridCol w:w="990"/>
        <w:gridCol w:w="975"/>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blHeader/>
        </w:trPr>
        <w:tc>
          <w:tcPr>
            <w:tcW w:w="900" w:type="dxa"/>
            <w:vMerge w:val="restart"/>
            <w:tcBorders>
              <w:top w:val="single" w:color="auto" w:sz="4" w:space="0"/>
              <w:left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单位编码</w:t>
            </w:r>
          </w:p>
        </w:tc>
        <w:tc>
          <w:tcPr>
            <w:tcW w:w="1245" w:type="dxa"/>
            <w:vMerge w:val="restart"/>
            <w:tcBorders>
              <w:top w:val="single" w:color="auto" w:sz="4" w:space="0"/>
              <w:left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单位名称</w:t>
            </w: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仿宋" w:hAnsi="仿宋" w:eastAsia="仿宋" w:cs="仿宋"/>
                <w:b/>
                <w:bCs/>
                <w:lang w:val="en-US" w:eastAsia="zh-CN"/>
              </w:rPr>
            </w:pPr>
            <w:r>
              <w:rPr>
                <w:rFonts w:hint="eastAsia" w:ascii="仿宋" w:hAnsi="仿宋" w:eastAsia="仿宋" w:cs="仿宋"/>
                <w:b/>
                <w:bCs/>
                <w:lang w:val="en-US" w:eastAsia="zh-CN"/>
              </w:rPr>
              <w:t>本年收入（财政拨款预算收入）</w:t>
            </w:r>
          </w:p>
        </w:tc>
        <w:tc>
          <w:tcPr>
            <w:tcW w:w="3865" w:type="dxa"/>
            <w:gridSpan w:val="4"/>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仿宋" w:hAnsi="仿宋" w:eastAsia="仿宋" w:cs="仿宋"/>
                <w:b/>
                <w:bCs/>
                <w:lang w:val="en-US" w:eastAsia="zh-CN"/>
              </w:rPr>
            </w:pPr>
            <w:r>
              <w:rPr>
                <w:rFonts w:hint="eastAsia" w:ascii="仿宋" w:hAnsi="仿宋" w:eastAsia="仿宋" w:cs="仿宋"/>
                <w:b/>
                <w:bCs/>
                <w:lang w:val="en-US" w:eastAsia="zh-CN"/>
              </w:rPr>
              <w:t>上年结转（财政拨款预算收入）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1" w:hRule="atLeast"/>
          <w:tblHeader/>
        </w:trPr>
        <w:tc>
          <w:tcPr>
            <w:tcW w:w="900" w:type="dxa"/>
            <w:vMerge w:val="continue"/>
            <w:tcBorders>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p>
        </w:tc>
        <w:tc>
          <w:tcPr>
            <w:tcW w:w="1245" w:type="dxa"/>
            <w:vMerge w:val="continue"/>
            <w:tcBorders>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p>
        </w:tc>
        <w:tc>
          <w:tcPr>
            <w:tcW w:w="76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仿宋" w:hAnsi="仿宋" w:eastAsia="仿宋" w:cs="仿宋"/>
                <w:b/>
                <w:bCs/>
                <w:sz w:val="24"/>
                <w:szCs w:val="22"/>
                <w:lang w:val="en-US" w:eastAsia="zh-CN" w:bidi="ar-SA"/>
              </w:rPr>
            </w:pPr>
            <w:r>
              <w:rPr>
                <w:rFonts w:hint="eastAsia" w:ascii="仿宋" w:hAnsi="仿宋" w:eastAsia="仿宋" w:cs="仿宋"/>
                <w:b/>
                <w:bCs/>
                <w:kern w:val="0"/>
                <w:sz w:val="24"/>
                <w:szCs w:val="24"/>
                <w:lang w:val="en-US" w:eastAsia="zh-CN" w:bidi="ar"/>
              </w:rPr>
              <w:t>本年收入合计</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仿宋" w:hAnsi="仿宋" w:eastAsia="仿宋" w:cs="仿宋"/>
                <w:b/>
                <w:bCs/>
                <w:sz w:val="24"/>
                <w:szCs w:val="22"/>
                <w:lang w:val="en-US" w:eastAsia="zh-CN" w:bidi="ar-SA"/>
              </w:rPr>
            </w:pPr>
            <w:r>
              <w:rPr>
                <w:rFonts w:hint="eastAsia" w:ascii="仿宋" w:hAnsi="仿宋" w:eastAsia="仿宋" w:cs="仿宋"/>
                <w:b/>
                <w:bCs/>
                <w:kern w:val="0"/>
                <w:sz w:val="24"/>
                <w:szCs w:val="24"/>
                <w:lang w:val="en-US" w:eastAsia="zh-CN" w:bidi="ar"/>
              </w:rPr>
              <w:t>小计</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一般公共预算</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上年结转合计</w:t>
            </w:r>
          </w:p>
          <w:p>
            <w:pPr>
              <w:keepNext w:val="0"/>
              <w:keepLines w:val="0"/>
              <w:widowControl/>
              <w:suppressLineNumbers w:val="0"/>
              <w:jc w:val="left"/>
              <w:rPr>
                <w:rFonts w:hint="eastAsia" w:ascii="仿宋" w:hAnsi="仿宋" w:eastAsia="仿宋" w:cs="仿宋"/>
                <w:b/>
                <w:bCs/>
                <w:kern w:val="0"/>
                <w:sz w:val="24"/>
                <w:szCs w:val="24"/>
                <w:lang w:val="en-US" w:eastAsia="zh-CN" w:bidi="ar"/>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小计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一般公共预算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政府性基金预算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r>
              <w:rPr>
                <w:rFonts w:hint="eastAsia" w:ascii="仿宋" w:hAnsi="仿宋" w:eastAsia="仿宋" w:cs="仿宋"/>
                <w:kern w:val="0"/>
                <w:sz w:val="24"/>
                <w:szCs w:val="24"/>
                <w:lang w:val="en-US" w:eastAsia="zh-CN" w:bidi="ar"/>
              </w:rPr>
              <w:t>105001</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r>
              <w:rPr>
                <w:rFonts w:hint="eastAsia" w:ascii="仿宋" w:hAnsi="仿宋" w:eastAsia="仿宋" w:cs="仿宋"/>
                <w:kern w:val="0"/>
                <w:sz w:val="24"/>
                <w:szCs w:val="24"/>
                <w:lang w:val="en-US" w:eastAsia="zh-CN" w:bidi="ar"/>
              </w:rPr>
              <w:t>宁夏宁东能源化工基地管理委员会社会事务局本级</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r>
              <w:rPr>
                <w:rFonts w:hint="eastAsia" w:ascii="仿宋" w:hAnsi="仿宋" w:eastAsia="仿宋" w:cs="仿宋"/>
                <w:kern w:val="0"/>
                <w:sz w:val="24"/>
                <w:szCs w:val="24"/>
                <w:lang w:val="en-US" w:eastAsia="zh-CN" w:bidi="ar"/>
              </w:rPr>
              <w:t>745.70</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r>
              <w:rPr>
                <w:rFonts w:hint="eastAsia" w:ascii="仿宋" w:hAnsi="仿宋" w:eastAsia="仿宋" w:cs="仿宋"/>
                <w:b w:val="0"/>
                <w:bCs w:val="0"/>
                <w:kern w:val="0"/>
                <w:sz w:val="24"/>
                <w:szCs w:val="24"/>
                <w:lang w:val="en-US" w:eastAsia="zh-CN" w:bidi="ar"/>
              </w:rPr>
              <w:t>745.7</w:t>
            </w:r>
            <w:r>
              <w:rPr>
                <w:rFonts w:hint="eastAsia" w:ascii="仿宋" w:hAnsi="仿宋" w:eastAsia="仿宋" w:cs="仿宋"/>
                <w:kern w:val="0"/>
                <w:sz w:val="24"/>
                <w:szCs w:val="24"/>
                <w:lang w:val="en-US" w:eastAsia="zh-CN" w:bidi="ar"/>
              </w:rPr>
              <w:t>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745.70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r>
              <w:rPr>
                <w:rFonts w:hint="eastAsia" w:ascii="仿宋" w:hAnsi="仿宋" w:eastAsia="仿宋" w:cs="仿宋"/>
                <w:kern w:val="0"/>
                <w:sz w:val="24"/>
                <w:szCs w:val="24"/>
                <w:lang w:val="en-US" w:eastAsia="zh-CN" w:bidi="ar"/>
              </w:rPr>
              <w:t>286.23</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r>
              <w:rPr>
                <w:rFonts w:hint="eastAsia" w:ascii="仿宋" w:hAnsi="仿宋" w:eastAsia="仿宋" w:cs="仿宋"/>
                <w:kern w:val="0"/>
                <w:sz w:val="24"/>
                <w:szCs w:val="24"/>
                <w:lang w:val="en-US" w:eastAsia="zh-CN" w:bidi="ar"/>
              </w:rPr>
              <w:t>286.23</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rPr>
            </w:pPr>
            <w:r>
              <w:rPr>
                <w:rFonts w:hint="eastAsia" w:ascii="仿宋" w:hAnsi="仿宋" w:eastAsia="仿宋" w:cs="仿宋"/>
                <w:kern w:val="0"/>
                <w:sz w:val="24"/>
                <w:szCs w:val="24"/>
                <w:lang w:val="en-US" w:eastAsia="zh-CN" w:bidi="ar"/>
              </w:rPr>
              <w:t>252.23</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34.00</w:t>
            </w:r>
          </w:p>
        </w:tc>
      </w:tr>
    </w:tbl>
    <w:p>
      <w:pPr>
        <w:pStyle w:val="170"/>
      </w:pPr>
    </w:p>
    <w:p>
      <w:pPr>
        <w:pStyle w:val="166"/>
      </w:pPr>
    </w:p>
    <w:p>
      <w:pPr>
        <w:pStyle w:val="166"/>
      </w:pPr>
    </w:p>
    <w:p>
      <w:pPr>
        <w:pStyle w:val="166"/>
      </w:pPr>
    </w:p>
    <w:p>
      <w:pPr>
        <w:pStyle w:val="166"/>
      </w:pPr>
    </w:p>
    <w:p>
      <w:pPr>
        <w:pStyle w:val="166"/>
      </w:pPr>
    </w:p>
    <w:p>
      <w:pPr>
        <w:pStyle w:val="166"/>
        <w:sectPr>
          <w:pgSz w:w="12240" w:h="15840"/>
          <w:pgMar w:top="1440" w:right="1800" w:bottom="1440" w:left="1800" w:header="720" w:footer="720" w:gutter="0"/>
          <w:cols w:space="720" w:num="1"/>
          <w:docGrid w:linePitch="360" w:charSpace="0"/>
        </w:sectPr>
      </w:pPr>
    </w:p>
    <w:p>
      <w:pPr>
        <w:pStyle w:val="170"/>
        <w:rPr>
          <w:rFonts w:hint="eastAsia" w:ascii="仿宋" w:hAnsi="仿宋" w:eastAsia="仿宋" w:cs="仿宋"/>
          <w:b w:val="0"/>
          <w:bCs/>
          <w:sz w:val="24"/>
          <w:szCs w:val="24"/>
        </w:rPr>
      </w:pPr>
      <w:r>
        <w:drawing>
          <wp:inline distT="0" distB="0" distL="114300" distR="114300">
            <wp:extent cx="8225155" cy="5705475"/>
            <wp:effectExtent l="0" t="0" r="444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225155" cy="5705475"/>
                    </a:xfrm>
                    <a:prstGeom prst="rect">
                      <a:avLst/>
                    </a:prstGeom>
                    <a:noFill/>
                    <a:ln>
                      <a:noFill/>
                    </a:ln>
                  </pic:spPr>
                </pic:pic>
              </a:graphicData>
            </a:graphic>
          </wp:inline>
        </w:drawing>
      </w:r>
    </w:p>
    <w:p>
      <w:pPr>
        <w:pStyle w:val="166"/>
      </w:pPr>
      <w:r>
        <w:drawing>
          <wp:inline distT="0" distB="0" distL="114300" distR="114300">
            <wp:extent cx="8229600" cy="24485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229600" cy="2448560"/>
                    </a:xfrm>
                    <a:prstGeom prst="rect">
                      <a:avLst/>
                    </a:prstGeom>
                    <a:noFill/>
                    <a:ln>
                      <a:noFill/>
                    </a:ln>
                  </pic:spPr>
                </pic:pic>
              </a:graphicData>
            </a:graphic>
          </wp:inline>
        </w:drawing>
      </w:r>
    </w:p>
    <w:p>
      <w:pPr>
        <w:sectPr>
          <w:pgSz w:w="15840" w:h="12240" w:orient="landscape"/>
          <w:pgMar w:top="1800" w:right="1440" w:bottom="1800" w:left="1440" w:header="720" w:footer="720" w:gutter="0"/>
          <w:cols w:space="720" w:num="1"/>
          <w:docGrid w:linePitch="360" w:charSpace="0"/>
        </w:sectPr>
      </w:pPr>
      <w:r>
        <w:br w:type="page"/>
      </w:r>
    </w:p>
    <w:p>
      <w:pPr>
        <w:pStyle w:val="166"/>
      </w:pPr>
      <w:r>
        <w:drawing>
          <wp:inline distT="0" distB="0" distL="114300" distR="114300">
            <wp:extent cx="5816600" cy="7569835"/>
            <wp:effectExtent l="0" t="0" r="1270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816600" cy="7569835"/>
                    </a:xfrm>
                    <a:prstGeom prst="rect">
                      <a:avLst/>
                    </a:prstGeom>
                    <a:noFill/>
                    <a:ln>
                      <a:noFill/>
                    </a:ln>
                  </pic:spPr>
                </pic:pic>
              </a:graphicData>
            </a:graphic>
          </wp:inline>
        </w:drawing>
      </w:r>
    </w:p>
    <w:p>
      <w:pPr>
        <w:pStyle w:val="166"/>
        <w:sectPr>
          <w:pgSz w:w="12240" w:h="15840"/>
          <w:pgMar w:top="1440" w:right="1800" w:bottom="1440" w:left="1800" w:header="720" w:footer="720" w:gutter="0"/>
          <w:cols w:space="720" w:num="1"/>
          <w:docGrid w:linePitch="360" w:charSpace="0"/>
        </w:sectPr>
      </w:pPr>
    </w:p>
    <w:p>
      <w:pPr>
        <w:pStyle w:val="166"/>
      </w:pPr>
      <w:r>
        <w:drawing>
          <wp:inline distT="0" distB="0" distL="114300" distR="114300">
            <wp:extent cx="8092440" cy="5777865"/>
            <wp:effectExtent l="0" t="0" r="3810"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8092440" cy="5777865"/>
                    </a:xfrm>
                    <a:prstGeom prst="rect">
                      <a:avLst/>
                    </a:prstGeom>
                    <a:noFill/>
                    <a:ln>
                      <a:noFill/>
                    </a:ln>
                  </pic:spPr>
                </pic:pic>
              </a:graphicData>
            </a:graphic>
          </wp:inline>
        </w:drawing>
      </w:r>
    </w:p>
    <w:p>
      <w:pPr>
        <w:pStyle w:val="166"/>
        <w:sectPr>
          <w:pgSz w:w="15840" w:h="12240" w:orient="landscape"/>
          <w:pgMar w:top="1800" w:right="1440" w:bottom="1800" w:left="1440" w:header="720" w:footer="720" w:gutter="0"/>
          <w:cols w:space="720" w:num="1"/>
          <w:docGrid w:linePitch="360" w:charSpace="0"/>
        </w:sectPr>
      </w:pPr>
      <w:r>
        <w:drawing>
          <wp:inline distT="0" distB="0" distL="114300" distR="114300">
            <wp:extent cx="8342630" cy="4783455"/>
            <wp:effectExtent l="0" t="0" r="127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8342630" cy="4783455"/>
                    </a:xfrm>
                    <a:prstGeom prst="rect">
                      <a:avLst/>
                    </a:prstGeom>
                    <a:noFill/>
                    <a:ln>
                      <a:noFill/>
                    </a:ln>
                  </pic:spPr>
                </pic:pic>
              </a:graphicData>
            </a:graphic>
          </wp:inline>
        </w:drawing>
      </w:r>
    </w:p>
    <w:p>
      <w:pPr>
        <w:pStyle w:val="166"/>
      </w:pPr>
      <w:r>
        <w:drawing>
          <wp:inline distT="0" distB="0" distL="114300" distR="114300">
            <wp:extent cx="5483860" cy="7819390"/>
            <wp:effectExtent l="0" t="0" r="254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483860" cy="7819390"/>
                    </a:xfrm>
                    <a:prstGeom prst="rect">
                      <a:avLst/>
                    </a:prstGeom>
                    <a:noFill/>
                    <a:ln>
                      <a:noFill/>
                    </a:ln>
                  </pic:spPr>
                </pic:pic>
              </a:graphicData>
            </a:graphic>
          </wp:inline>
        </w:drawing>
      </w:r>
    </w:p>
    <w:p>
      <w:pPr>
        <w:pStyle w:val="166"/>
      </w:pPr>
      <w:r>
        <w:drawing>
          <wp:inline distT="0" distB="0" distL="114300" distR="114300">
            <wp:extent cx="5718810" cy="2082800"/>
            <wp:effectExtent l="0" t="0" r="1524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718810" cy="2082800"/>
                    </a:xfrm>
                    <a:prstGeom prst="rect">
                      <a:avLst/>
                    </a:prstGeom>
                    <a:noFill/>
                    <a:ln>
                      <a:noFill/>
                    </a:ln>
                  </pic:spPr>
                </pic:pic>
              </a:graphicData>
            </a:graphic>
          </wp:inline>
        </w:drawing>
      </w:r>
    </w:p>
    <w:p>
      <w:pPr>
        <w:pStyle w:val="166"/>
        <w:jc w:val="center"/>
        <w:sectPr>
          <w:pgSz w:w="12240" w:h="15840"/>
          <w:pgMar w:top="1440" w:right="1800" w:bottom="1440" w:left="1800" w:header="720" w:footer="720" w:gutter="0"/>
          <w:cols w:space="720" w:num="1"/>
          <w:docGrid w:linePitch="360" w:charSpace="0"/>
        </w:sectPr>
      </w:pPr>
      <w:r>
        <w:drawing>
          <wp:inline distT="0" distB="0" distL="114300" distR="114300">
            <wp:extent cx="5925185" cy="7805420"/>
            <wp:effectExtent l="0" t="0" r="18415"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925185" cy="7805420"/>
                    </a:xfrm>
                    <a:prstGeom prst="rect">
                      <a:avLst/>
                    </a:prstGeom>
                    <a:noFill/>
                    <a:ln>
                      <a:noFill/>
                    </a:ln>
                  </pic:spPr>
                </pic:pic>
              </a:graphicData>
            </a:graphic>
          </wp:inline>
        </w:drawing>
      </w:r>
    </w:p>
    <w:p>
      <w:pPr>
        <w:pStyle w:val="166"/>
        <w:jc w:val="center"/>
        <w:sectPr>
          <w:pgSz w:w="15840" w:h="12240" w:orient="landscape"/>
          <w:pgMar w:top="1800" w:right="1440" w:bottom="1800" w:left="1440" w:header="720" w:footer="720" w:gutter="0"/>
          <w:cols w:space="720" w:num="1"/>
          <w:docGrid w:linePitch="360" w:charSpace="0"/>
        </w:sectPr>
      </w:pPr>
      <w:r>
        <w:drawing>
          <wp:inline distT="0" distB="0" distL="114300" distR="114300">
            <wp:extent cx="8223250" cy="1262380"/>
            <wp:effectExtent l="0" t="0" r="6350" b="139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8223250" cy="1262380"/>
                    </a:xfrm>
                    <a:prstGeom prst="rect">
                      <a:avLst/>
                    </a:prstGeom>
                    <a:noFill/>
                    <a:ln>
                      <a:noFill/>
                    </a:ln>
                  </pic:spPr>
                </pic:pic>
              </a:graphicData>
            </a:graphic>
          </wp:inline>
        </w:drawing>
      </w:r>
    </w:p>
    <w:p>
      <w:pPr>
        <w:keepNext w:val="0"/>
        <w:keepLines w:val="0"/>
        <w:widowControl/>
        <w:suppressLineNumbers w:val="0"/>
        <w:jc w:val="center"/>
      </w:pPr>
      <w:r>
        <w:rPr>
          <w:rFonts w:ascii="FZXBSJW--GB1-0" w:hAnsi="FZXBSJW--GB1-0" w:eastAsia="FZXBSJW--GB1-0" w:cs="FZXBSJW--GB1-0"/>
          <w:color w:val="000000"/>
          <w:kern w:val="0"/>
          <w:sz w:val="36"/>
          <w:szCs w:val="36"/>
          <w:lang w:val="en-US" w:eastAsia="zh-CN" w:bidi="ar"/>
        </w:rPr>
        <w:t>宁夏宁东能源化工基地管理委员会社会事务局本级</w:t>
      </w:r>
    </w:p>
    <w:p>
      <w:pPr>
        <w:keepNext w:val="0"/>
        <w:keepLines w:val="0"/>
        <w:widowControl/>
        <w:suppressLineNumbers w:val="0"/>
        <w:jc w:val="center"/>
        <w:rPr>
          <w:rFonts w:ascii="FZXBSJW--GB1-0" w:hAnsi="FZXBSJW--GB1-0" w:eastAsia="FZXBSJW--GB1-0" w:cs="FZXBSJW--GB1-0"/>
          <w:color w:val="000000"/>
          <w:kern w:val="0"/>
          <w:sz w:val="36"/>
          <w:szCs w:val="36"/>
          <w:lang w:val="en-US" w:eastAsia="zh-CN" w:bidi="ar"/>
        </w:rPr>
      </w:pPr>
      <w:r>
        <w:rPr>
          <w:rFonts w:hint="default" w:ascii="FZXBSJW--GB1-0" w:hAnsi="FZXBSJW--GB1-0" w:eastAsia="FZXBSJW--GB1-0" w:cs="FZXBSJW--GB1-0"/>
          <w:color w:val="000000"/>
          <w:kern w:val="0"/>
          <w:sz w:val="36"/>
          <w:szCs w:val="36"/>
          <w:lang w:val="en-US" w:eastAsia="zh-CN" w:bidi="ar"/>
        </w:rPr>
        <w:t>2026年部门预算——部门预算情况说明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ascii="黑体" w:hAnsi="宋体" w:eastAsia="黑体" w:cs="黑体"/>
          <w:color w:val="000000"/>
          <w:kern w:val="0"/>
          <w:sz w:val="32"/>
          <w:szCs w:val="32"/>
          <w:lang w:val="en-US" w:eastAsia="zh-CN" w:bidi="ar"/>
        </w:rPr>
        <w:t>一、收支预算总体情况说明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ascii="仿宋" w:hAnsi="仿宋" w:eastAsia="仿宋" w:cs="仿宋"/>
          <w:color w:val="000000"/>
          <w:kern w:val="0"/>
          <w:sz w:val="32"/>
          <w:szCs w:val="32"/>
          <w:lang w:val="en-US" w:eastAsia="zh-CN" w:bidi="ar"/>
        </w:rPr>
        <w:t>宁夏宁东能源化工基地管理委员会社会事务局本级2026年度收</w:t>
      </w:r>
      <w:r>
        <w:rPr>
          <w:rFonts w:hint="eastAsia" w:ascii="仿宋" w:hAnsi="仿宋" w:eastAsia="仿宋" w:cs="仿宋"/>
          <w:color w:val="000000"/>
          <w:kern w:val="0"/>
          <w:sz w:val="32"/>
          <w:szCs w:val="32"/>
          <w:lang w:val="en-US" w:eastAsia="zh-CN" w:bidi="ar"/>
        </w:rPr>
        <w:t>入、支出预算总计1,031.93万元，与上年相比收支预算总计减少380.37万元，下降26.93%。</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ascii="楷体" w:hAnsi="楷体" w:eastAsia="楷体" w:cs="楷体"/>
          <w:color w:val="000000"/>
          <w:kern w:val="0"/>
          <w:sz w:val="32"/>
          <w:szCs w:val="32"/>
          <w:lang w:val="en-US" w:eastAsia="zh-CN" w:bidi="ar"/>
        </w:rPr>
        <w:t>（一）收入预算总计1,031.93万元。包括：</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1.本年收入合计745.70万元。一般公共预算拨款收入745.70万元，与上年相比减少115.30万元，下降13.34%。主要原因是：2026年职业能力提升培训资金预算较2025年减少100万元。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2.上年结转结余收入286.23万元。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楷体" w:hAnsi="楷体" w:eastAsia="楷体" w:cs="楷体"/>
          <w:color w:val="000000"/>
          <w:kern w:val="0"/>
          <w:sz w:val="32"/>
          <w:szCs w:val="32"/>
          <w:lang w:val="en-US" w:eastAsia="zh-CN" w:bidi="ar"/>
        </w:rPr>
        <w:t>（二）支出预算总计1,031.93万元。包括：</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1.本年支出合计1,031.93万元。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一般公共服务支出（类）支出157.00万元，主要用于开展铸牢中华民族共同体意识相关工作、驻村帮扶工作及保障宁东营商环境法治工作中心正常运转等工作。与上年持平。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default"/>
          <w:lang w:val="en-US"/>
        </w:rPr>
      </w:pPr>
      <w:r>
        <w:rPr>
          <w:rFonts w:hint="eastAsia" w:ascii="仿宋" w:hAnsi="仿宋" w:eastAsia="仿宋" w:cs="仿宋"/>
          <w:color w:val="000000"/>
          <w:kern w:val="0"/>
          <w:sz w:val="32"/>
          <w:szCs w:val="32"/>
          <w:lang w:val="en-US" w:eastAsia="zh-CN" w:bidi="ar"/>
        </w:rPr>
        <w:t>公共安全支出（类）支出90.00万元，主要用于开展平安宁东建设、综合治理及公共安全领域相关工作。与上年相比增长30万元，增长50.00%。主要原因是：2026年新增公共安全领域工作项目经费30万元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社会保障和就业支出（类）支出100万元，主要用于支付重点就业群体技能提升培训和企业职工技能提升培训。与上年相比减少100万元，下降50.00%。主要原因是：因2025年预算含以前年度产生的培训费用，2026年根据工作实际减少预算100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default"/>
          <w:lang w:val="en-US"/>
        </w:rPr>
      </w:pPr>
      <w:r>
        <w:rPr>
          <w:rFonts w:hint="eastAsia" w:ascii="仿宋" w:hAnsi="仿宋" w:eastAsia="仿宋" w:cs="仿宋"/>
          <w:color w:val="000000"/>
          <w:kern w:val="0"/>
          <w:sz w:val="32"/>
          <w:szCs w:val="32"/>
          <w:lang w:val="en-US" w:eastAsia="zh-CN" w:bidi="ar"/>
        </w:rPr>
        <w:t>卫生健康支出（类）支出303.23万元，主要用于开展落实健康宁夏暨全民健康水平提升行动工作，支付疫情期间产生的核酸检测费用。与上年相比减少22万元，下降6.76%。主要原因是：根据2025年工作实际，对健康宁夏工作经费预算进行了调整。</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灾害防治及应急管理支出（类）支出24.00万元，主要用于宁东应急避难场所规划编制。与上年相比增长24.0万元，增长100%。主要原因是：该项目为2025年项目，合同金额48万元，2025年已支付24万元，2026年支付剩余24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其他支出（类）支出34.00万元，主要用于开展日常工作。与上年相比增长34.0万元，增长100%。主要原因是：与2025年预算经费所设科目不同。</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2.年终结转结余286.23万元。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二、收入预算情况说明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宁夏宁东能源化工基地管理委员会社会事务局本级2026年收入预算合计1,031.93万元，包括本年收入745.70万元，上年结转结余286.23万元。其中：</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本年一般公共预算收入745.70万元，占收入总计72.26%；</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上年结转结余的一般公共预算收入252.23万元，占收入总计24.44%；</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上年结转结余的政府性基金预算收入34.00万元，占收入总计3.29%；</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480" w:firstLineChars="200"/>
        <w:jc w:val="both"/>
        <w:textAlignment w:val="auto"/>
      </w:pPr>
      <w:r>
        <w:drawing>
          <wp:anchor distT="0" distB="0" distL="114300" distR="114300" simplePos="0" relativeHeight="251659264" behindDoc="0" locked="0" layoutInCell="1" allowOverlap="1">
            <wp:simplePos x="0" y="0"/>
            <wp:positionH relativeFrom="column">
              <wp:posOffset>685800</wp:posOffset>
            </wp:positionH>
            <wp:positionV relativeFrom="paragraph">
              <wp:posOffset>74930</wp:posOffset>
            </wp:positionV>
            <wp:extent cx="3457575" cy="2295525"/>
            <wp:effectExtent l="0" t="0" r="9525" b="9525"/>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3457575" cy="2295525"/>
                    </a:xfrm>
                    <a:prstGeom prst="rect">
                      <a:avLst/>
                    </a:prstGeom>
                    <a:noFill/>
                    <a:ln>
                      <a:noFill/>
                    </a:ln>
                  </pic:spPr>
                </pic:pic>
              </a:graphicData>
            </a:graphic>
          </wp:anchor>
        </w:drawing>
      </w:r>
      <w:r>
        <w:rPr>
          <w:rFonts w:ascii="黑体" w:hAnsi="宋体" w:eastAsia="黑体" w:cs="黑体"/>
          <w:color w:val="000000"/>
          <w:kern w:val="0"/>
          <w:sz w:val="32"/>
          <w:szCs w:val="32"/>
          <w:lang w:val="en-US" w:eastAsia="zh-CN" w:bidi="ar"/>
        </w:rPr>
        <w:t>三、支出预算情况说明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ascii="仿宋" w:hAnsi="仿宋" w:eastAsia="仿宋" w:cs="仿宋"/>
          <w:color w:val="000000"/>
          <w:kern w:val="0"/>
          <w:sz w:val="32"/>
          <w:szCs w:val="32"/>
          <w:lang w:val="en-US" w:eastAsia="zh-CN" w:bidi="ar"/>
        </w:rPr>
        <w:t>宁夏宁东能源化工基地管理委员会社会事务局本级2026年支出</w:t>
      </w:r>
      <w:r>
        <w:rPr>
          <w:rFonts w:hint="eastAsia" w:ascii="仿宋" w:hAnsi="仿宋" w:eastAsia="仿宋" w:cs="仿宋"/>
          <w:color w:val="000000"/>
          <w:kern w:val="0"/>
          <w:sz w:val="32"/>
          <w:szCs w:val="32"/>
          <w:lang w:val="en-US" w:eastAsia="zh-CN" w:bidi="ar"/>
        </w:rPr>
        <w:t>预算合计1,031.93万元，其中：基本支出8.70万元，占支出总计0.84%；项目支出1,023.23万元，占支出总计99.16%；</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四、财政拨款收支预算总体情况说明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宁夏宁东能源化工基地管理委员会社会事务局本级2026年财政拨款收、支总预算1,031.93万元，与上年相比，财政拨款收、支总计各减少380.37万元，下降26.93%。主要原因：2025年预算含中央、自治区资金400万元。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五、财政拨款支出预算情况说明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宁夏宁东能源化工基地管理委员会社会事务局本级2026年财政拨款预算支出1,031.93万元，占本年支出合计的100.00%。与上年相比，财政拨款支出减360.37万元，下降25.88%。主要原因：2025年预算含中央、自治区资金400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（一）一般公共服务支出(类)157.0万元。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1.政协事务(款)一般行政管理事务(项)支出30.0万元，与上年持平。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2.政府办公厅（室）及相关机构事务(款)行政运行(项)支出88万元，与上年持平。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3.政府办公厅（室）及相关机构事务(款)一般行政管理事务(项)支出117.0万元，与上年持平。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4.民族事务(款)其他民族事务支出(项)支出20万元，与上年相比增加5万元，增长33.33%。主要原因：2026年开展民族宗教法律法规宣传及人员培训。</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5.信访事务(款)其他信访事务支出(项)支出20.0万元，与上年相比增大10.0万元，增长50.0%。主要原因：增加10万元信访工作经费，用于化解疑难信访问题。</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（二）公共安全支出(类)90.0万元。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1.司法(款)普法宣传(项)支出30.0万元，与上年相比增大5.0万元，增长20.0%。主要原因：2026年加强执法人员轮训工作。</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2.其他公共安全支出(款)其他公共安全支出(项)支出60.0万元，与上年相比增大60.0万元，增长100%。主要原因：该笔预算与2025年预算所设科目不同且新增30万宁东公共安全领域工作经费</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（三）社会保障和就业支出(类)423.7万元。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1.民政管理事务(款)行政运行(项)支出8.7万元，与上年持平。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2.民政管理事务(款)一般行政管理事务(项)支出70.0万元，与上年持平。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3.民政管理事务(款)其他民政管理事务支出(项)支出245.0万元，与上年持平。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default"/>
          <w:lang w:val="en-US"/>
        </w:rPr>
      </w:pPr>
      <w:r>
        <w:rPr>
          <w:rFonts w:hint="eastAsia" w:ascii="仿宋" w:hAnsi="仿宋" w:eastAsia="仿宋" w:cs="仿宋"/>
          <w:color w:val="000000"/>
          <w:kern w:val="0"/>
          <w:sz w:val="32"/>
          <w:szCs w:val="32"/>
          <w:lang w:val="en-US" w:eastAsia="zh-CN" w:bidi="ar"/>
        </w:rPr>
        <w:t>4.就业补助(款)职业培训补贴(项)支出100.0万元，与上年相比减少100.0万元，下降50%。主要原因：因2025年预算含以前年度产生的培训费用，2026年根据工作实际减少预算100万元。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（四）卫生健康支出(类)303.23万元。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1.卫生健康管理事务(款)其他卫生健康管理事务支出(项)支出51万元，与上年相比减小22.0万元，下降30.14%。主要原因：根据2025年工作实际，对健康宁夏工作经费预算进行了调整。</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2.公共卫生(款)突发公共卫生事件应急处置(项)支出252.23万元，与上年相比增大252.23万元，增长100%。主要原因：该项经费为2025年结转资金</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（五）粮油物资储备支出(类)0.0万元。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重要商品储备(款)其他重要商品储备支出(项)支出0.0万元，与上年相比减小70.0万元，下降87.50%。主要原因：因宁东财政金融局将应急物资储备相关资金纳入管委会预算中予以保障，我局2026年该项工作经费预算为10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（六）灾害防治及应急管理支出(类)24.0万元。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1.应急管理事务(款)其他应急管理支出(项)支出24.0万元，与上年相比增大24.0万元，增长100%。主要原因：该项目为2025年项目，合同金额48万元，2025年已支付24万元，2026年支付剩余24万元。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（七）其他支出(类)34.0万元。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1.彩票公益金安排的支出(款)用于体育事业的彩票公益金支出(项)支出34.0万元，与上年相比增大34.0万元，增长100%。主要原因：该项资金为结转的上年度中央资金。</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六、财政拨款基本支出预算情况说明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宁夏宁东能源化工基地管理委员会社会事务局本级部门2026年度财政拨款基本支出8.70万元，其中：办公费5.00万元,印刷费0.30万元,差旅费2.50万元,维修(护)费0.30万元,其他商品和服务支出0.60万元。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七、一般公共预算支出预算情况说明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宁夏宁东能源化工基地管理委员会社会事务局本级部门2026年度一般公共预算财政拨款支出预算997.93万元，与上年相比，一般公共预算财政拨款收、支总计减少394.37万元，下降28.33%。主要原因：2025年预算资金中含中央、自治区下拨资金400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一般公共预算基本支出情况。宁夏宁东能源化工基地管理委员会社会事务局本级部门2026年度一般公共预算基本支出8.70万元，主要包括：</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办公费5.00万元,印刷费0.30万元,差旅费2.50万元,维修(护)费0.30万元,其他商品和服务支出0.60万元。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八、一般公共预算“三公”经费、会议费、培训费、差旅费预算情况说明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一）“三公”经费。宁夏宁东能源化工基地管理委员会社会事务局本级部门2026年“三公”经费预算为0万元，与上年相比减少0.07万元。其中：因公出国（境）费0万元，占“三公”经费的0%；公务用车购置0万元，占“三公”经费的0%；公务用车运行费0万元，占“三公”经费的0%；公务接待费0万元，占“三公”经费的0%。具体情况如下：</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1.因公出国（境）费预算0.0万元，与上年持平。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2.公务用车购置费及运行维护费预算0万元。其中：</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（1）公务用车购置预算0.0万元，与上年持平。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（2）公务用车运行维护预算0.0万元，与上年持平。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3.公务接待费预算0.0万元，与上年相比减少0.07万元。主要原因：近年来未产生公务接待费用。</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（二）“三项”费用。</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1.宁夏宁东能源化工基地管理委员会社会事务局本级部门2026年一般公共预算安排的会议费预算0.0万元，与上年持平。</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宁夏宁东能源化工基地管理委员会社会事务局本级部门2026年一般公共预算安排的培训费预算33.0万元，与上年相比增加33.0万元。主要原因：用于开展执法人员轮训、铸牢中华民族共同体意识培训以及新媒体从业人员等培训。</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3.宁夏宁东能源化工基地管理委员会社会事务局本级部门2026年一般公共预算安排的差旅费预算49.2万元，与上年相比增加9.2万元。主要原因：营商环境法治工作中心外出调研、学习，增加差旅费预算。</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九、关于宁夏宁东能源化工基地管理委员会社会事务局本级2026年政府性基金预算拨款情况说明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宁夏宁东能源化工基地管理委员会社会事务局本级2026年政府性基金预算财政拨款34.00万元，本年收入安排支出0万元，上年结转资金安排支出34.00万元。与上年相比增加34.00万元，增长100.00%。</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十、其他重要事项的情况说明</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（一）机关运行经费</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2026年，宁夏宁东能源化工基地管理委员会社会事务局本级及所属0个行政单位和0个参公管理事业单位的机关运行经费财政拨款预算8.70万元，比上年预算减少2.60万元，下降23.01%。主要原因：因人员调整，工作人员人数减少。</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（二）政府采购情况</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2026年，宁夏宁东能源化工基地管理委员会社会事务局本级政府采购预算0.70万元。</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（三）预算绩效情况</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2026年本部门整体支出已纳入绩效目标管理，涉及财政性资金737万元；本部门共15个项目纳入绩效目标管理，涉及财政性资金合计737万元，占财政性资金（人员类和运转类中的公用经费项目支出除外）总额的比例为100%。</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default"/>
          <w:lang w:val="en-US"/>
        </w:rPr>
      </w:pPr>
      <w:r>
        <w:rPr>
          <w:rFonts w:hint="eastAsia" w:ascii="仿宋" w:hAnsi="仿宋" w:eastAsia="仿宋" w:cs="仿宋"/>
          <w:color w:val="000000"/>
          <w:kern w:val="0"/>
          <w:sz w:val="32"/>
          <w:szCs w:val="32"/>
          <w:lang w:val="en-US" w:eastAsia="zh-CN" w:bidi="ar"/>
        </w:rPr>
        <w:t xml:space="preserve">（四）其他需说明的事项 </w:t>
      </w:r>
    </w:p>
    <w:p>
      <w:pPr>
        <w:keepNext w:val="0"/>
        <w:keepLines w:val="0"/>
        <w:pageBreakBefore w:val="0"/>
        <w:widowControl/>
        <w:kinsoku/>
        <w:wordWrap/>
        <w:overflowPunct/>
        <w:topLinePunct w:val="0"/>
        <w:autoSpaceDE/>
        <w:autoSpaceDN/>
        <w:bidi w:val="0"/>
        <w:adjustRightInd/>
        <w:snapToGrid/>
        <w:spacing w:after="0" w:line="560" w:lineRule="exact"/>
        <w:ind w:firstLine="720" w:firstLineChars="200"/>
        <w:jc w:val="both"/>
        <w:textAlignment w:val="auto"/>
        <w:rPr>
          <w:rFonts w:ascii="FZXBSJW--GB1-0" w:hAnsi="FZXBSJW--GB1-0" w:eastAsia="FZXBSJW--GB1-0" w:cs="FZXBSJW--GB1-0"/>
          <w:color w:val="000000"/>
          <w:kern w:val="0"/>
          <w:sz w:val="36"/>
          <w:szCs w:val="36"/>
          <w:lang w:val="en-US" w:eastAsia="zh-CN" w:bidi="ar"/>
        </w:rPr>
      </w:pPr>
      <w:r>
        <w:rPr>
          <w:rFonts w:ascii="FZXBSJW--GB1-0" w:hAnsi="FZXBSJW--GB1-0" w:eastAsia="FZXBSJW--GB1-0" w:cs="FZXBSJW--GB1-0"/>
          <w:color w:val="000000"/>
          <w:kern w:val="0"/>
          <w:sz w:val="36"/>
          <w:szCs w:val="36"/>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720" w:firstLineChars="200"/>
        <w:jc w:val="center"/>
        <w:textAlignment w:val="auto"/>
      </w:pPr>
      <w:r>
        <w:rPr>
          <w:rFonts w:ascii="FZXBSJW--GB1-0" w:hAnsi="FZXBSJW--GB1-0" w:eastAsia="FZXBSJW--GB1-0" w:cs="FZXBSJW--GB1-0"/>
          <w:color w:val="000000"/>
          <w:kern w:val="0"/>
          <w:sz w:val="36"/>
          <w:szCs w:val="36"/>
          <w:lang w:val="en-US" w:eastAsia="zh-CN" w:bidi="ar"/>
        </w:rPr>
        <w:t>宁夏宁东能源化工基地管理委员会社会事务局本级</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720" w:firstLineChars="200"/>
        <w:jc w:val="center"/>
        <w:textAlignment w:val="auto"/>
      </w:pPr>
      <w:r>
        <w:rPr>
          <w:rFonts w:hint="default" w:ascii="FZXBSJW--GB1-0" w:hAnsi="FZXBSJW--GB1-0" w:eastAsia="FZXBSJW--GB1-0" w:cs="FZXBSJW--GB1-0"/>
          <w:color w:val="000000"/>
          <w:kern w:val="0"/>
          <w:sz w:val="36"/>
          <w:szCs w:val="36"/>
          <w:lang w:val="en-US" w:eastAsia="zh-CN" w:bidi="ar"/>
        </w:rPr>
        <w:t>2026年部门预算——名词解释</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ascii="仿宋" w:hAnsi="仿宋" w:eastAsia="仿宋" w:cs="仿宋"/>
          <w:color w:val="000000"/>
          <w:kern w:val="0"/>
          <w:sz w:val="32"/>
          <w:szCs w:val="32"/>
          <w:lang w:val="en-US" w:eastAsia="zh-CN" w:bidi="ar"/>
        </w:rPr>
        <w:t>一、财政拨款：单位从同级财政部门取得的各类财政拨款，包括一</w:t>
      </w:r>
      <w:r>
        <w:rPr>
          <w:rFonts w:hint="eastAsia" w:ascii="仿宋" w:hAnsi="仿宋" w:eastAsia="仿宋" w:cs="仿宋"/>
          <w:color w:val="000000"/>
          <w:kern w:val="0"/>
          <w:sz w:val="32"/>
          <w:szCs w:val="32"/>
          <w:lang w:val="en-US" w:eastAsia="zh-CN" w:bidi="ar"/>
        </w:rPr>
        <w:t>般公共预算拨款、政府性基金预算拨款、国有资本经营预算拨款。</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二、财政专户管理资金：缴入财政专户、实行专项管理的高中以上学费、住宿费、高校委托培养费、函大、电大、夜大及短训班培训费等教育收费。</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三、单位资金：除财政拨款收入和财政专户管理资金以外的收入，包括事业收入（不含教育收费）、上级补助收入、附属单位上缴收入、事业单位经营收入及其他收入（包含债务收入、投资收益等）。</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四、基本支出：指为保障机构正常运转、完成工作任务而发生的人员支出和公用支出。</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五、项目支出：指在基本支出之外为完成特定工作任务和事业发展目标所发生的支出。</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六、“三公”经费：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仿宋" w:hAnsi="仿宋" w:eastAsia="仿宋" w:cs="仿宋"/>
          <w:color w:val="000000"/>
          <w:kern w:val="0"/>
          <w:sz w:val="32"/>
          <w:szCs w:val="32"/>
          <w:lang w:val="en-US" w:eastAsia="zh-CN" w:bidi="ar"/>
        </w:rPr>
        <w:t>七、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169"/>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ＭＳ ゴシック">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ourier">
    <w:altName w:val="DejaVu Math TeX Gyre"/>
    <w:panose1 w:val="020005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ＭＳ 明朝">
    <w:altName w:val="方正书宋_GBK"/>
    <w:panose1 w:val="00000000000000000000"/>
    <w:charset w:val="80"/>
    <w:family w:val="roman"/>
    <w:pitch w:val="default"/>
    <w:sig w:usb0="00000000" w:usb1="00000000" w:usb2="00000010" w:usb3="00000000" w:csb0="00020000" w:csb1="00000000"/>
  </w:font>
  <w:font w:name="MathJax_Vector">
    <w:panose1 w:val="02000603000000000000"/>
    <w:charset w:val="00"/>
    <w:family w:val="auto"/>
    <w:pitch w:val="default"/>
    <w:sig w:usb0="00000001" w:usb1="00000020" w:usb2="00000000" w:usb3="00000000" w:csb0="00000001"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XBSJW--GB1-0">
    <w:altName w:val="C059"/>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9802FF"/>
    <w:rsid w:val="04BA2023"/>
    <w:rsid w:val="087A0447"/>
    <w:rsid w:val="08E73603"/>
    <w:rsid w:val="0B776EC0"/>
    <w:rsid w:val="11A16A45"/>
    <w:rsid w:val="1507144E"/>
    <w:rsid w:val="168626AD"/>
    <w:rsid w:val="18714C97"/>
    <w:rsid w:val="1BF7FE2D"/>
    <w:rsid w:val="1C006A5E"/>
    <w:rsid w:val="1DA17DCD"/>
    <w:rsid w:val="1ECA6EAF"/>
    <w:rsid w:val="24380AC7"/>
    <w:rsid w:val="28302479"/>
    <w:rsid w:val="29B13146"/>
    <w:rsid w:val="32755658"/>
    <w:rsid w:val="36FB1EA4"/>
    <w:rsid w:val="3B003F2D"/>
    <w:rsid w:val="3BF910A8"/>
    <w:rsid w:val="3D7F1DE0"/>
    <w:rsid w:val="3E907376"/>
    <w:rsid w:val="3F1E0E25"/>
    <w:rsid w:val="3F892743"/>
    <w:rsid w:val="438751EB"/>
    <w:rsid w:val="442B201A"/>
    <w:rsid w:val="444906F3"/>
    <w:rsid w:val="47DB7175"/>
    <w:rsid w:val="498D2E30"/>
    <w:rsid w:val="4C0A0767"/>
    <w:rsid w:val="4EEA4880"/>
    <w:rsid w:val="53083527"/>
    <w:rsid w:val="5AE34FA5"/>
    <w:rsid w:val="5F17346F"/>
    <w:rsid w:val="66D47E98"/>
    <w:rsid w:val="6BF30DC0"/>
    <w:rsid w:val="78650950"/>
    <w:rsid w:val="7A8772A3"/>
    <w:rsid w:val="7D083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Title Style"/>
    <w:qFormat/>
    <w:uiPriority w:val="0"/>
    <w:pPr>
      <w:spacing w:before="240" w:after="480" w:line="276" w:lineRule="auto"/>
      <w:jc w:val="center"/>
    </w:pPr>
    <w:rPr>
      <w:rFonts w:ascii="黑体" w:hAnsi="黑体" w:eastAsia="黑体" w:cstheme="minorBidi"/>
      <w:b/>
      <w:sz w:val="36"/>
      <w:szCs w:val="22"/>
      <w:lang w:val="en-US" w:eastAsia="en-US" w:bidi="ar-SA"/>
    </w:rPr>
  </w:style>
  <w:style w:type="paragraph" w:customStyle="1" w:styleId="165">
    <w:name w:val="H1 Style"/>
    <w:qFormat/>
    <w:uiPriority w:val="0"/>
    <w:pPr>
      <w:spacing w:before="360" w:after="240" w:line="276" w:lineRule="auto"/>
      <w:ind w:firstLine="0"/>
    </w:pPr>
    <w:rPr>
      <w:rFonts w:ascii="黑体" w:hAnsi="黑体" w:eastAsia="黑体" w:cstheme="minorBidi"/>
      <w:b/>
      <w:sz w:val="32"/>
      <w:szCs w:val="22"/>
      <w:lang w:val="en-US" w:eastAsia="en-US" w:bidi="ar-SA"/>
    </w:rPr>
  </w:style>
  <w:style w:type="paragraph" w:customStyle="1" w:styleId="166">
    <w:name w:val="H2 Style"/>
    <w:qFormat/>
    <w:uiPriority w:val="0"/>
    <w:pPr>
      <w:spacing w:before="240" w:after="160" w:line="276" w:lineRule="auto"/>
      <w:ind w:firstLine="0"/>
    </w:pPr>
    <w:rPr>
      <w:rFonts w:ascii="黑体" w:hAnsi="黑体" w:eastAsia="黑体" w:cstheme="minorBidi"/>
      <w:b/>
      <w:sz w:val="28"/>
      <w:szCs w:val="22"/>
      <w:lang w:val="en-US" w:eastAsia="en-US" w:bidi="ar-SA"/>
    </w:rPr>
  </w:style>
  <w:style w:type="paragraph" w:customStyle="1" w:styleId="167">
    <w:name w:val="H3 Style"/>
    <w:qFormat/>
    <w:uiPriority w:val="0"/>
    <w:pPr>
      <w:spacing w:before="160" w:after="120" w:line="276" w:lineRule="auto"/>
      <w:ind w:firstLine="0"/>
    </w:pPr>
    <w:rPr>
      <w:rFonts w:ascii="黑体" w:hAnsi="黑体" w:eastAsia="黑体" w:cstheme="minorBidi"/>
      <w:b/>
      <w:sz w:val="26"/>
      <w:szCs w:val="22"/>
      <w:lang w:val="en-US" w:eastAsia="en-US" w:bidi="ar-SA"/>
    </w:rPr>
  </w:style>
  <w:style w:type="paragraph" w:customStyle="1" w:styleId="168">
    <w:name w:val="Body Style"/>
    <w:qFormat/>
    <w:uiPriority w:val="0"/>
    <w:pPr>
      <w:spacing w:after="120" w:line="360" w:lineRule="auto"/>
      <w:ind w:firstLine="480"/>
    </w:pPr>
    <w:rPr>
      <w:rFonts w:ascii="宋体" w:hAnsi="宋体" w:eastAsia="宋体" w:cstheme="minorBidi"/>
      <w:sz w:val="24"/>
      <w:szCs w:val="22"/>
      <w:lang w:val="en-US" w:eastAsia="en-US" w:bidi="ar-SA"/>
    </w:rPr>
  </w:style>
  <w:style w:type="paragraph" w:customStyle="1" w:styleId="169">
    <w:name w:val="List Style"/>
    <w:qFormat/>
    <w:uiPriority w:val="0"/>
    <w:pPr>
      <w:spacing w:after="80" w:line="360" w:lineRule="auto"/>
      <w:ind w:left="480" w:firstLine="0"/>
    </w:pPr>
    <w:rPr>
      <w:rFonts w:ascii="宋体" w:hAnsi="宋体" w:eastAsia="宋体" w:cstheme="minorBidi"/>
      <w:sz w:val="24"/>
      <w:szCs w:val="22"/>
      <w:lang w:val="en-US" w:eastAsia="en-US" w:bidi="ar-SA"/>
    </w:rPr>
  </w:style>
  <w:style w:type="paragraph" w:customStyle="1" w:styleId="170">
    <w:name w:val="Table Caption"/>
    <w:qFormat/>
    <w:uiPriority w:val="0"/>
    <w:pPr>
      <w:spacing w:before="160" w:after="160" w:line="276" w:lineRule="auto"/>
      <w:jc w:val="center"/>
    </w:pPr>
    <w:rPr>
      <w:rFonts w:ascii="宋体" w:hAnsi="宋体" w:eastAsia="宋体" w:cstheme="minorBidi"/>
      <w:b/>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5745</Words>
  <Characters>6590</Characters>
  <Lines>0</Lines>
  <Paragraphs>0</Paragraphs>
  <TotalTime>5</TotalTime>
  <ScaleCrop>false</ScaleCrop>
  <LinksUpToDate>false</LinksUpToDate>
  <CharactersWithSpaces>6732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ndgwh</cp:lastModifiedBy>
  <dcterms:modified xsi:type="dcterms:W3CDTF">2026-03-12T11:28:29Z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eyJoZGlkIjoiYjkzNGM0OTVkOTNiZTY5YzgwMDZiMDdhYzFjMjA0ODAiLCJ1c2VySWQiOiIyODQyNTUxODgifQ==</vt:lpwstr>
  </property>
  <property fmtid="{D5CDD505-2E9C-101B-9397-08002B2CF9AE}" pid="3" name="KSOProductBuildVer">
    <vt:lpwstr>2052-11.8.2.12313</vt:lpwstr>
  </property>
  <property fmtid="{D5CDD505-2E9C-101B-9397-08002B2CF9AE}" pid="4" name="ICV">
    <vt:lpwstr>CF8D86C2C2664BD4BF7BCD36B263608A_13</vt:lpwstr>
  </property>
</Properties>
</file>