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仿宋_GB2312" w:hAnsi="宋体" w:eastAsia="仿宋_GB2312" w:cs="宋体"/>
          <w:b/>
          <w:kern w:val="0"/>
          <w:sz w:val="30"/>
          <w:szCs w:val="30"/>
        </w:rPr>
      </w:pPr>
    </w:p>
    <w:p>
      <w:pPr>
        <w:widowControl/>
        <w:shd w:val="clear" w:color="auto" w:fill="FFFFFF"/>
        <w:spacing w:line="360" w:lineRule="auto"/>
        <w:jc w:val="center"/>
        <w:rPr>
          <w:rFonts w:ascii="仿宋_GB2312" w:hAnsi="宋体" w:eastAsia="仿宋_GB2312" w:cs="宋体"/>
          <w:b/>
          <w:kern w:val="0"/>
          <w:sz w:val="30"/>
          <w:szCs w:val="30"/>
        </w:rPr>
      </w:pPr>
    </w:p>
    <w:p>
      <w:pPr>
        <w:widowControl/>
        <w:shd w:val="clear" w:color="auto" w:fill="FFFFFF"/>
        <w:spacing w:line="360" w:lineRule="auto"/>
        <w:jc w:val="center"/>
        <w:rPr>
          <w:rFonts w:ascii="仿宋_GB2312" w:hAnsi="宋体" w:eastAsia="仿宋_GB2312" w:cs="宋体"/>
          <w:b/>
          <w:kern w:val="0"/>
          <w:sz w:val="30"/>
          <w:szCs w:val="30"/>
        </w:rPr>
      </w:pPr>
    </w:p>
    <w:p>
      <w:pPr>
        <w:widowControl/>
        <w:shd w:val="clear" w:color="auto" w:fill="FFFFFF"/>
        <w:spacing w:line="360" w:lineRule="auto"/>
        <w:jc w:val="center"/>
        <w:rPr>
          <w:rFonts w:ascii="仿宋_GB2312" w:hAnsi="宋体" w:eastAsia="仿宋_GB2312" w:cs="宋体"/>
          <w:b/>
          <w:kern w:val="0"/>
          <w:sz w:val="30"/>
          <w:szCs w:val="30"/>
        </w:rPr>
      </w:pPr>
    </w:p>
    <w:p>
      <w:pPr>
        <w:widowControl/>
        <w:shd w:val="clear" w:color="auto" w:fill="FFFFFF"/>
        <w:spacing w:line="560" w:lineRule="exact"/>
        <w:jc w:val="center"/>
        <w:rPr>
          <w:rFonts w:hint="eastAsia" w:ascii="黑体" w:hAnsi="宋体" w:eastAsia="黑体" w:cs="宋体"/>
          <w:b/>
          <w:kern w:val="0"/>
          <w:sz w:val="44"/>
          <w:szCs w:val="44"/>
        </w:rPr>
      </w:pPr>
      <w:r>
        <w:rPr>
          <w:rFonts w:hint="eastAsia" w:ascii="黑体" w:hAnsi="宋体" w:eastAsia="黑体" w:cs="宋体"/>
          <w:b/>
          <w:kern w:val="0"/>
          <w:sz w:val="44"/>
          <w:szCs w:val="44"/>
        </w:rPr>
        <w:t>宁东基地管委会2017年财政预算情况及</w:t>
      </w:r>
    </w:p>
    <w:p>
      <w:pPr>
        <w:widowControl/>
        <w:shd w:val="clear" w:color="auto" w:fill="FFFFFF"/>
        <w:spacing w:line="560" w:lineRule="exact"/>
        <w:jc w:val="center"/>
        <w:rPr>
          <w:rFonts w:ascii="黑体" w:hAnsi="宋体" w:eastAsia="黑体" w:cs="宋体"/>
          <w:b/>
          <w:kern w:val="0"/>
          <w:sz w:val="44"/>
          <w:szCs w:val="44"/>
        </w:rPr>
      </w:pPr>
      <w:r>
        <w:rPr>
          <w:rFonts w:hint="eastAsia" w:ascii="黑体" w:hAnsi="宋体" w:eastAsia="黑体" w:cs="宋体"/>
          <w:b/>
          <w:kern w:val="0"/>
          <w:sz w:val="44"/>
          <w:szCs w:val="44"/>
        </w:rPr>
        <w:t>2018年财政预算的报告（草案）</w:t>
      </w:r>
    </w:p>
    <w:p>
      <w:pPr>
        <w:widowControl/>
        <w:shd w:val="clear" w:color="auto" w:fill="FFFFFF"/>
        <w:spacing w:line="560" w:lineRule="exact"/>
        <w:jc w:val="left"/>
        <w:rPr>
          <w:rFonts w:ascii="仿宋_GB2312" w:hAnsi="宋体" w:eastAsia="仿宋_GB2312" w:cs="宋体"/>
          <w:b/>
          <w:bCs/>
          <w:kern w:val="0"/>
          <w:sz w:val="18"/>
          <w:szCs w:val="18"/>
        </w:rPr>
      </w:pPr>
    </w:p>
    <w:p>
      <w:pPr>
        <w:spacing w:line="6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为切实履行财政支撑保障职能，促进宁东基地又好好快发展，根据《预算法》等法规及自治区人民政府关于编制市县级2018年预算的通知要求，我局代编了2018年宁东基地管委会财政收支预算。现将2017年财政预算情况和2018年财政预算报告如下。</w:t>
      </w:r>
    </w:p>
    <w:p>
      <w:pPr>
        <w:spacing w:line="620" w:lineRule="exact"/>
        <w:ind w:firstLine="643" w:firstLineChars="200"/>
        <w:rPr>
          <w:rFonts w:ascii="黑体" w:hAnsi="宋体" w:eastAsia="黑体" w:cs="宋体"/>
          <w:kern w:val="0"/>
          <w:sz w:val="32"/>
          <w:szCs w:val="32"/>
        </w:rPr>
      </w:pPr>
      <w:r>
        <w:rPr>
          <w:rFonts w:hint="eastAsia" w:ascii="黑体" w:hAnsi="宋体" w:eastAsia="黑体" w:cs="宋体"/>
          <w:b/>
          <w:bCs/>
          <w:kern w:val="0"/>
          <w:sz w:val="32"/>
          <w:szCs w:val="32"/>
        </w:rPr>
        <w:t>一、2017年财政收支情况</w:t>
      </w:r>
    </w:p>
    <w:p>
      <w:pPr>
        <w:widowControl/>
        <w:shd w:val="clear" w:color="auto" w:fill="FFFFFF"/>
        <w:spacing w:line="6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2017年，宁东基地实现全口径财政收入 826,987万元，较上年增长77%，分级次看：实现中央级收入</w:t>
      </w:r>
      <w:r>
        <w:rPr>
          <w:rFonts w:hint="eastAsia" w:ascii="仿宋_GB2312" w:hAnsi="宋体" w:eastAsia="仿宋_GB2312" w:cs="宋体"/>
          <w:spacing w:val="-20"/>
          <w:kern w:val="0"/>
          <w:sz w:val="32"/>
          <w:szCs w:val="32"/>
        </w:rPr>
        <w:t>329,532万</w:t>
      </w:r>
      <w:r>
        <w:rPr>
          <w:rFonts w:hint="eastAsia" w:ascii="仿宋_GB2312" w:hAnsi="宋体" w:eastAsia="仿宋_GB2312" w:cs="宋体"/>
          <w:kern w:val="0"/>
          <w:sz w:val="32"/>
          <w:szCs w:val="32"/>
        </w:rPr>
        <w:t>元，较上年增长94%</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实现自治区级收入212,586万元，较上年增长74%</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实现管委会级284,869万元，较上年增长65%。</w:t>
      </w:r>
    </w:p>
    <w:p>
      <w:pPr>
        <w:widowControl/>
        <w:shd w:val="clear" w:color="auto" w:fill="FFFFFF"/>
        <w:spacing w:line="62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2017年管委会实现一般公共预算收入211,523万元，较上年增长48%，完成年度预算的133.8%，其中：税收收入190,214万元，非税收入21,309万元。基金预算收入实现32,137万元，较上年增长107.4%，完成年度预算的101.4%。国有资本经营收入41,209万元，成年度预算的101.8%</w:t>
      </w:r>
    </w:p>
    <w:p>
      <w:pPr>
        <w:widowControl/>
        <w:shd w:val="clear" w:color="auto" w:fill="FFFFFF"/>
        <w:spacing w:line="62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201</w:t>
      </w:r>
      <w:r>
        <w:rPr>
          <w:rFonts w:hint="eastAsia" w:ascii="仿宋_GB2312" w:hAnsi="宋体" w:eastAsia="仿宋_GB2312" w:cs="宋体"/>
          <w:kern w:val="0"/>
          <w:sz w:val="32"/>
          <w:szCs w:val="32"/>
        </w:rPr>
        <w:t>7年分级次财政收入如下表：</w:t>
      </w:r>
    </w:p>
    <w:p>
      <w:pPr>
        <w:widowControl/>
        <w:shd w:val="clear" w:color="auto" w:fill="FFFFFF"/>
        <w:spacing w:line="64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2017年宁东基地收入统计表</w:t>
      </w:r>
    </w:p>
    <w:tbl>
      <w:tblPr>
        <w:tblStyle w:val="8"/>
        <w:tblpPr w:leftFromText="180" w:rightFromText="180" w:vertAnchor="text" w:horzAnchor="margin" w:tblpXSpec="center" w:tblpY="626"/>
        <w:tblOverlap w:val="never"/>
        <w:tblW w:w="8222" w:type="dxa"/>
        <w:tblInd w:w="0" w:type="dxa"/>
        <w:tblLayout w:type="fixed"/>
        <w:tblCellMar>
          <w:top w:w="15" w:type="dxa"/>
          <w:left w:w="15" w:type="dxa"/>
          <w:bottom w:w="15" w:type="dxa"/>
          <w:right w:w="15" w:type="dxa"/>
        </w:tblCellMar>
      </w:tblPr>
      <w:tblGrid>
        <w:gridCol w:w="1524"/>
        <w:gridCol w:w="2446"/>
        <w:gridCol w:w="1559"/>
        <w:gridCol w:w="1276"/>
        <w:gridCol w:w="1417"/>
      </w:tblGrid>
      <w:tr>
        <w:tblPrEx>
          <w:tblLayout w:type="fixed"/>
          <w:tblCellMar>
            <w:top w:w="15" w:type="dxa"/>
            <w:left w:w="15" w:type="dxa"/>
            <w:bottom w:w="15" w:type="dxa"/>
            <w:right w:w="15" w:type="dxa"/>
          </w:tblCellMar>
        </w:tblPrEx>
        <w:trPr>
          <w:trHeight w:val="270" w:hRule="atLeast"/>
        </w:trPr>
        <w:tc>
          <w:tcPr>
            <w:tcW w:w="1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级 次</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项 目</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2016年</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2017年</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增长率</w:t>
            </w:r>
          </w:p>
        </w:tc>
      </w:tr>
      <w:tr>
        <w:tblPrEx>
          <w:tblLayout w:type="fixed"/>
          <w:tblCellMar>
            <w:top w:w="15" w:type="dxa"/>
            <w:left w:w="15" w:type="dxa"/>
            <w:bottom w:w="15" w:type="dxa"/>
            <w:right w:w="15" w:type="dxa"/>
          </w:tblCellMar>
        </w:tblPrEx>
        <w:trPr>
          <w:trHeight w:val="270" w:hRule="atLeast"/>
        </w:trPr>
        <w:tc>
          <w:tcPr>
            <w:tcW w:w="1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中央级</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公共预算收入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170,037</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329,532</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94%</w:t>
            </w:r>
          </w:p>
        </w:tc>
      </w:tr>
      <w:tr>
        <w:tblPrEx>
          <w:tblLayout w:type="fixed"/>
          <w:tblCellMar>
            <w:top w:w="15" w:type="dxa"/>
            <w:left w:w="15" w:type="dxa"/>
            <w:bottom w:w="15" w:type="dxa"/>
            <w:right w:w="15" w:type="dxa"/>
          </w:tblCellMar>
        </w:tblPrEx>
        <w:trPr>
          <w:trHeight w:val="270"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2"/>
                <w:szCs w:val="22"/>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 xml:space="preserve">   其中：1.税收</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169,383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325,739</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2"/>
                <w:szCs w:val="22"/>
                <w:lang w:bidi="ar"/>
              </w:rPr>
              <w:t>92%</w:t>
            </w:r>
          </w:p>
        </w:tc>
      </w:tr>
      <w:tr>
        <w:tblPrEx>
          <w:tblLayout w:type="fixed"/>
          <w:tblCellMar>
            <w:top w:w="15" w:type="dxa"/>
            <w:left w:w="15" w:type="dxa"/>
            <w:bottom w:w="15" w:type="dxa"/>
            <w:right w:w="15" w:type="dxa"/>
          </w:tblCellMar>
        </w:tblPrEx>
        <w:trPr>
          <w:trHeight w:val="90"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2"/>
                <w:szCs w:val="22"/>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 xml:space="preserve">      2.非税收入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654</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3,793</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2"/>
                <w:szCs w:val="22"/>
                <w:lang w:bidi="ar"/>
              </w:rPr>
              <w:t>480%</w:t>
            </w:r>
          </w:p>
        </w:tc>
      </w:tr>
      <w:tr>
        <w:tblPrEx>
          <w:tblLayout w:type="fixed"/>
          <w:tblCellMar>
            <w:top w:w="15" w:type="dxa"/>
            <w:left w:w="15" w:type="dxa"/>
            <w:bottom w:w="15" w:type="dxa"/>
            <w:right w:w="15" w:type="dxa"/>
          </w:tblCellMar>
        </w:tblPrEx>
        <w:trPr>
          <w:trHeight w:val="92"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2"/>
                <w:szCs w:val="22"/>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基金收入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1,143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0</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w:t>
            </w:r>
          </w:p>
        </w:tc>
      </w:tr>
      <w:tr>
        <w:tblPrEx>
          <w:tblLayout w:type="fixed"/>
          <w:tblCellMar>
            <w:top w:w="15" w:type="dxa"/>
            <w:left w:w="15" w:type="dxa"/>
            <w:bottom w:w="15" w:type="dxa"/>
            <w:right w:w="15" w:type="dxa"/>
          </w:tblCellMar>
        </w:tblPrEx>
        <w:trPr>
          <w:trHeight w:val="122" w:hRule="atLeast"/>
        </w:trPr>
        <w:tc>
          <w:tcPr>
            <w:tcW w:w="1524" w:type="dxa"/>
            <w:tcBorders>
              <w:top w:val="single" w:color="000000" w:sz="4" w:space="0"/>
              <w:left w:val="single" w:color="000000" w:sz="4" w:space="0"/>
              <w:bottom w:val="single" w:color="000000" w:sz="4" w:space="0"/>
              <w:right w:val="single" w:color="000000" w:sz="4" w:space="0"/>
            </w:tcBorders>
            <w:shd w:val="clear" w:color="auto" w:fill="D7D7D7"/>
            <w:vAlign w:val="bottom"/>
          </w:tcPr>
          <w:p>
            <w:pPr>
              <w:jc w:val="center"/>
              <w:rPr>
                <w:rFonts w:ascii="仿宋_GB2312" w:hAnsi="宋体" w:eastAsia="仿宋_GB2312" w:cs="仿宋_GB2312"/>
                <w:sz w:val="22"/>
                <w:szCs w:val="22"/>
                <w:shd w:val="clear" w:color="FFFFFF" w:fill="D9D9D9"/>
              </w:rPr>
            </w:pPr>
          </w:p>
        </w:tc>
        <w:tc>
          <w:tcPr>
            <w:tcW w:w="244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2"/>
                <w:szCs w:val="22"/>
                <w:shd w:val="clear" w:color="FFFFFF" w:fill="D9D9D9"/>
              </w:rPr>
            </w:pPr>
            <w:r>
              <w:rPr>
                <w:rFonts w:hint="eastAsia" w:ascii="仿宋_GB2312" w:hAnsi="宋体" w:eastAsia="仿宋_GB2312" w:cs="仿宋_GB2312"/>
                <w:b/>
                <w:kern w:val="0"/>
                <w:sz w:val="22"/>
                <w:szCs w:val="22"/>
                <w:shd w:val="clear" w:color="FFFFFF" w:fill="D9D9D9"/>
                <w:lang w:bidi="ar"/>
              </w:rPr>
              <w:t>中央级收入小计</w:t>
            </w:r>
          </w:p>
        </w:tc>
        <w:tc>
          <w:tcPr>
            <w:tcW w:w="1559"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2"/>
                <w:szCs w:val="22"/>
                <w:shd w:val="clear" w:color="FFFFFF" w:fill="D9D9D9"/>
              </w:rPr>
            </w:pPr>
            <w:r>
              <w:rPr>
                <w:rFonts w:hint="eastAsia" w:ascii="仿宋_GB2312" w:hAnsi="宋体" w:eastAsia="仿宋_GB2312" w:cs="仿宋_GB2312"/>
                <w:b/>
                <w:kern w:val="0"/>
                <w:sz w:val="22"/>
                <w:szCs w:val="22"/>
                <w:shd w:val="clear" w:color="FFFFFF" w:fill="D9D9D9"/>
                <w:lang w:bidi="ar"/>
              </w:rPr>
              <w:t>171,180</w:t>
            </w:r>
          </w:p>
        </w:tc>
        <w:tc>
          <w:tcPr>
            <w:tcW w:w="127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2"/>
                <w:szCs w:val="22"/>
                <w:shd w:val="clear" w:color="FFFFFF" w:fill="D9D9D9"/>
              </w:rPr>
            </w:pPr>
            <w:r>
              <w:rPr>
                <w:rFonts w:hint="eastAsia" w:ascii="仿宋_GB2312" w:hAnsi="宋体" w:eastAsia="仿宋_GB2312" w:cs="仿宋_GB2312"/>
                <w:b/>
                <w:kern w:val="0"/>
                <w:sz w:val="22"/>
                <w:szCs w:val="22"/>
                <w:shd w:val="clear" w:color="FFFFFF" w:fill="D9D9D9"/>
                <w:lang w:bidi="ar"/>
              </w:rPr>
              <w:t>329,532</w:t>
            </w:r>
          </w:p>
        </w:tc>
        <w:tc>
          <w:tcPr>
            <w:tcW w:w="1417"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sz w:val="22"/>
                <w:szCs w:val="22"/>
                <w:shd w:val="clear" w:color="FFFFFF" w:fill="D9D9D9"/>
              </w:rPr>
            </w:pPr>
            <w:r>
              <w:rPr>
                <w:rFonts w:hint="eastAsia" w:ascii="仿宋_GB2312" w:hAnsi="宋体" w:eastAsia="仿宋_GB2312" w:cs="仿宋_GB2312"/>
                <w:kern w:val="0"/>
                <w:sz w:val="22"/>
                <w:szCs w:val="22"/>
                <w:shd w:val="clear" w:color="FFFFFF" w:fill="D9D9D9"/>
                <w:lang w:bidi="ar"/>
              </w:rPr>
              <w:t>93%</w:t>
            </w:r>
          </w:p>
        </w:tc>
      </w:tr>
      <w:tr>
        <w:tblPrEx>
          <w:tblLayout w:type="fixed"/>
          <w:tblCellMar>
            <w:top w:w="15" w:type="dxa"/>
            <w:left w:w="15" w:type="dxa"/>
            <w:bottom w:w="15" w:type="dxa"/>
            <w:right w:w="15" w:type="dxa"/>
          </w:tblCellMar>
        </w:tblPrEx>
        <w:trPr>
          <w:trHeight w:val="90" w:hRule="atLeast"/>
        </w:trPr>
        <w:tc>
          <w:tcPr>
            <w:tcW w:w="1524"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自治区级</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公共预算收入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color w:val="000000"/>
                <w:kern w:val="0"/>
                <w:sz w:val="22"/>
                <w:szCs w:val="22"/>
                <w:lang w:bidi="ar"/>
              </w:rPr>
              <w:t>119,512</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212,586</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78%</w:t>
            </w:r>
          </w:p>
        </w:tc>
      </w:tr>
      <w:tr>
        <w:tblPrEx>
          <w:tblLayout w:type="fixed"/>
          <w:tblCellMar>
            <w:top w:w="15" w:type="dxa"/>
            <w:left w:w="15" w:type="dxa"/>
            <w:bottom w:w="15" w:type="dxa"/>
            <w:right w:w="15" w:type="dxa"/>
          </w:tblCellMar>
        </w:tblPrEx>
        <w:trPr>
          <w:trHeight w:val="357" w:hRule="atLeast"/>
        </w:trPr>
        <w:tc>
          <w:tcPr>
            <w:tcW w:w="1524" w:type="dxa"/>
            <w:tcBorders>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2"/>
                <w:szCs w:val="22"/>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0"/>
                <w:szCs w:val="20"/>
                <w:lang w:bidi="ar"/>
              </w:rPr>
              <w:t xml:space="preserve">   其中：1.税收</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color w:val="000000"/>
                <w:kern w:val="0"/>
                <w:sz w:val="20"/>
                <w:szCs w:val="20"/>
                <w:lang w:bidi="ar"/>
              </w:rPr>
              <w:t>109,633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0"/>
                <w:szCs w:val="20"/>
                <w:lang w:bidi="ar"/>
              </w:rPr>
              <w:t>191,308</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2"/>
                <w:szCs w:val="22"/>
                <w:lang w:bidi="ar"/>
              </w:rPr>
              <w:t>74%</w:t>
            </w:r>
          </w:p>
        </w:tc>
      </w:tr>
      <w:tr>
        <w:tblPrEx>
          <w:tblLayout w:type="fixed"/>
          <w:tblCellMar>
            <w:top w:w="15" w:type="dxa"/>
            <w:left w:w="15" w:type="dxa"/>
            <w:bottom w:w="15" w:type="dxa"/>
            <w:right w:w="15" w:type="dxa"/>
          </w:tblCellMar>
        </w:tblPrEx>
        <w:trPr>
          <w:trHeight w:val="90" w:hRule="atLeast"/>
        </w:trPr>
        <w:tc>
          <w:tcPr>
            <w:tcW w:w="1524" w:type="dxa"/>
            <w:tcBorders>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2"/>
                <w:szCs w:val="22"/>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0"/>
                <w:szCs w:val="20"/>
                <w:lang w:bidi="ar"/>
              </w:rPr>
              <w:t xml:space="preserve">       2.非税收入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color w:val="000000"/>
                <w:kern w:val="0"/>
                <w:sz w:val="20"/>
                <w:szCs w:val="20"/>
                <w:lang w:bidi="ar"/>
              </w:rPr>
              <w:t>9,879</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0"/>
                <w:szCs w:val="20"/>
                <w:lang w:bidi="ar"/>
              </w:rPr>
              <w:t>21,278</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2"/>
                <w:szCs w:val="22"/>
                <w:lang w:bidi="ar"/>
              </w:rPr>
              <w:t>115%</w:t>
            </w:r>
          </w:p>
        </w:tc>
      </w:tr>
      <w:tr>
        <w:tblPrEx>
          <w:tblLayout w:type="fixed"/>
          <w:tblCellMar>
            <w:top w:w="15" w:type="dxa"/>
            <w:left w:w="15" w:type="dxa"/>
            <w:bottom w:w="15" w:type="dxa"/>
            <w:right w:w="15" w:type="dxa"/>
          </w:tblCellMar>
        </w:tblPrEx>
        <w:trPr>
          <w:trHeight w:val="90" w:hRule="atLeast"/>
        </w:trPr>
        <w:tc>
          <w:tcPr>
            <w:tcW w:w="1524" w:type="dxa"/>
            <w:tcBorders>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2"/>
                <w:szCs w:val="22"/>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基金收入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color w:val="000000"/>
                <w:kern w:val="0"/>
                <w:sz w:val="22"/>
                <w:szCs w:val="22"/>
                <w:lang w:bidi="ar"/>
              </w:rPr>
              <w:t>2,667</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0</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w:t>
            </w:r>
          </w:p>
        </w:tc>
      </w:tr>
      <w:tr>
        <w:tblPrEx>
          <w:tblLayout w:type="fixed"/>
          <w:tblCellMar>
            <w:top w:w="15" w:type="dxa"/>
            <w:left w:w="15" w:type="dxa"/>
            <w:bottom w:w="15" w:type="dxa"/>
            <w:right w:w="15" w:type="dxa"/>
          </w:tblCellMar>
        </w:tblPrEx>
        <w:trPr>
          <w:trHeight w:val="90" w:hRule="atLeast"/>
        </w:trPr>
        <w:tc>
          <w:tcPr>
            <w:tcW w:w="1524" w:type="dxa"/>
            <w:tcBorders>
              <w:left w:val="single" w:color="000000" w:sz="4" w:space="0"/>
              <w:bottom w:val="single" w:color="000000" w:sz="4" w:space="0"/>
              <w:right w:val="single" w:color="000000" w:sz="4" w:space="0"/>
            </w:tcBorders>
            <w:shd w:val="clear" w:color="auto" w:fill="D7D7D7"/>
            <w:vAlign w:val="bottom"/>
          </w:tcPr>
          <w:p>
            <w:pPr>
              <w:jc w:val="center"/>
              <w:rPr>
                <w:rFonts w:ascii="仿宋_GB2312" w:hAnsi="宋体" w:eastAsia="仿宋_GB2312" w:cs="仿宋_GB2312"/>
                <w:color w:val="FF0000"/>
                <w:sz w:val="22"/>
                <w:szCs w:val="22"/>
              </w:rPr>
            </w:pPr>
          </w:p>
        </w:tc>
        <w:tc>
          <w:tcPr>
            <w:tcW w:w="244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color w:val="FF0000"/>
                <w:sz w:val="22"/>
                <w:szCs w:val="22"/>
              </w:rPr>
            </w:pPr>
            <w:r>
              <w:rPr>
                <w:rFonts w:hint="eastAsia" w:ascii="仿宋_GB2312" w:hAnsi="宋体" w:eastAsia="仿宋_GB2312" w:cs="仿宋_GB2312"/>
                <w:b/>
                <w:color w:val="000000"/>
                <w:kern w:val="0"/>
                <w:sz w:val="22"/>
                <w:szCs w:val="22"/>
                <w:lang w:bidi="ar"/>
              </w:rPr>
              <w:t>自治区收入小计</w:t>
            </w:r>
          </w:p>
        </w:tc>
        <w:tc>
          <w:tcPr>
            <w:tcW w:w="1559"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2"/>
                <w:szCs w:val="22"/>
              </w:rPr>
            </w:pPr>
            <w:r>
              <w:rPr>
                <w:rFonts w:hint="eastAsia" w:ascii="仿宋_GB2312" w:hAnsi="宋体" w:eastAsia="仿宋_GB2312" w:cs="仿宋_GB2312"/>
                <w:b/>
                <w:color w:val="000000"/>
                <w:kern w:val="0"/>
                <w:sz w:val="22"/>
                <w:szCs w:val="22"/>
                <w:lang w:bidi="ar"/>
              </w:rPr>
              <w:t>122,179</w:t>
            </w:r>
          </w:p>
        </w:tc>
        <w:tc>
          <w:tcPr>
            <w:tcW w:w="127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color w:val="FF0000"/>
                <w:sz w:val="22"/>
                <w:szCs w:val="22"/>
              </w:rPr>
            </w:pPr>
            <w:r>
              <w:rPr>
                <w:rFonts w:hint="eastAsia" w:ascii="仿宋_GB2312" w:hAnsi="宋体" w:eastAsia="仿宋_GB2312" w:cs="仿宋_GB2312"/>
                <w:b/>
                <w:color w:val="000000"/>
                <w:kern w:val="0"/>
                <w:sz w:val="22"/>
                <w:szCs w:val="22"/>
                <w:lang w:bidi="ar"/>
              </w:rPr>
              <w:t>212,586</w:t>
            </w:r>
          </w:p>
        </w:tc>
        <w:tc>
          <w:tcPr>
            <w:tcW w:w="1417"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74%</w:t>
            </w:r>
          </w:p>
        </w:tc>
      </w:tr>
      <w:tr>
        <w:tblPrEx>
          <w:tblLayout w:type="fixed"/>
          <w:tblCellMar>
            <w:top w:w="15" w:type="dxa"/>
            <w:left w:w="15" w:type="dxa"/>
            <w:bottom w:w="15" w:type="dxa"/>
            <w:right w:w="15" w:type="dxa"/>
          </w:tblCellMar>
        </w:tblPrEx>
        <w:trPr>
          <w:trHeight w:val="90" w:hRule="atLeast"/>
        </w:trPr>
        <w:tc>
          <w:tcPr>
            <w:tcW w:w="1524"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管委会级</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公共预算收入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color w:val="000000"/>
                <w:kern w:val="0"/>
                <w:sz w:val="22"/>
                <w:szCs w:val="22"/>
                <w:lang w:bidi="ar"/>
              </w:rPr>
              <w:t>143,153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211,523</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48%</w:t>
            </w:r>
          </w:p>
        </w:tc>
      </w:tr>
      <w:tr>
        <w:tblPrEx>
          <w:tblLayout w:type="fixed"/>
          <w:tblCellMar>
            <w:top w:w="15" w:type="dxa"/>
            <w:left w:w="15" w:type="dxa"/>
            <w:bottom w:w="15" w:type="dxa"/>
            <w:right w:w="15" w:type="dxa"/>
          </w:tblCellMar>
        </w:tblPrEx>
        <w:trPr>
          <w:trHeight w:val="270" w:hRule="atLeast"/>
        </w:trPr>
        <w:tc>
          <w:tcPr>
            <w:tcW w:w="1524" w:type="dxa"/>
            <w:tcBorders>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2"/>
                <w:szCs w:val="22"/>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0"/>
                <w:szCs w:val="20"/>
                <w:lang w:bidi="ar"/>
              </w:rPr>
              <w:t xml:space="preserve">   其中：1.税收</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color w:val="000000"/>
                <w:kern w:val="0"/>
                <w:sz w:val="20"/>
                <w:szCs w:val="20"/>
                <w:lang w:bidi="ar"/>
              </w:rPr>
              <w:t>126,593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0"/>
                <w:szCs w:val="20"/>
                <w:lang w:bidi="ar"/>
              </w:rPr>
              <w:t>190,214</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2"/>
                <w:szCs w:val="22"/>
                <w:lang w:bidi="ar"/>
              </w:rPr>
              <w:t>50%</w:t>
            </w:r>
          </w:p>
        </w:tc>
      </w:tr>
      <w:tr>
        <w:tblPrEx>
          <w:tblLayout w:type="fixed"/>
          <w:tblCellMar>
            <w:top w:w="15" w:type="dxa"/>
            <w:left w:w="15" w:type="dxa"/>
            <w:bottom w:w="15" w:type="dxa"/>
            <w:right w:w="15" w:type="dxa"/>
          </w:tblCellMar>
        </w:tblPrEx>
        <w:trPr>
          <w:trHeight w:val="270" w:hRule="atLeast"/>
        </w:trPr>
        <w:tc>
          <w:tcPr>
            <w:tcW w:w="1524" w:type="dxa"/>
            <w:tcBorders>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2"/>
                <w:szCs w:val="22"/>
              </w:rPr>
            </w:pPr>
          </w:p>
        </w:tc>
        <w:tc>
          <w:tcPr>
            <w:tcW w:w="244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0"/>
                <w:szCs w:val="20"/>
                <w:lang w:bidi="ar"/>
              </w:rPr>
              <w:t xml:space="preserve">       2.非税收入</w:t>
            </w:r>
          </w:p>
        </w:tc>
        <w:tc>
          <w:tcPr>
            <w:tcW w:w="155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color w:val="000000"/>
                <w:kern w:val="0"/>
                <w:sz w:val="20"/>
                <w:szCs w:val="20"/>
                <w:lang w:bidi="ar"/>
              </w:rPr>
              <w:t>16,560</w:t>
            </w:r>
          </w:p>
        </w:tc>
        <w:tc>
          <w:tcPr>
            <w:tcW w:w="127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0"/>
                <w:szCs w:val="20"/>
                <w:lang w:bidi="ar"/>
              </w:rPr>
              <w:t>21,309</w:t>
            </w:r>
          </w:p>
        </w:tc>
        <w:tc>
          <w:tcPr>
            <w:tcW w:w="141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2"/>
                <w:szCs w:val="22"/>
                <w:lang w:bidi="ar"/>
              </w:rPr>
              <w:t>29%</w:t>
            </w:r>
          </w:p>
        </w:tc>
      </w:tr>
      <w:tr>
        <w:tblPrEx>
          <w:tblLayout w:type="fixed"/>
          <w:tblCellMar>
            <w:top w:w="15" w:type="dxa"/>
            <w:left w:w="15" w:type="dxa"/>
            <w:bottom w:w="15" w:type="dxa"/>
            <w:right w:w="15" w:type="dxa"/>
          </w:tblCellMar>
        </w:tblPrEx>
        <w:trPr>
          <w:trHeight w:val="171" w:hRule="atLeast"/>
        </w:trPr>
        <w:tc>
          <w:tcPr>
            <w:tcW w:w="1524" w:type="dxa"/>
            <w:tcBorders>
              <w:left w:val="single" w:color="000000" w:sz="4" w:space="0"/>
              <w:bottom w:val="single" w:color="000000" w:sz="4" w:space="0"/>
              <w:right w:val="single" w:color="auto" w:sz="4" w:space="0"/>
            </w:tcBorders>
            <w:vAlign w:val="bottom"/>
          </w:tcPr>
          <w:p>
            <w:pPr>
              <w:jc w:val="center"/>
              <w:rPr>
                <w:rFonts w:ascii="仿宋_GB2312" w:hAnsi="宋体" w:eastAsia="仿宋_GB2312" w:cs="仿宋_GB2312"/>
                <w:color w:val="FF0000"/>
                <w:sz w:val="22"/>
                <w:szCs w:val="22"/>
              </w:rPr>
            </w:pPr>
          </w:p>
        </w:tc>
        <w:tc>
          <w:tcPr>
            <w:tcW w:w="244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基金收入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color w:val="000000"/>
                <w:kern w:val="0"/>
                <w:sz w:val="22"/>
                <w:szCs w:val="22"/>
                <w:lang w:bidi="ar"/>
              </w:rPr>
              <w:t>29,918</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32,137</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7%</w:t>
            </w:r>
          </w:p>
        </w:tc>
      </w:tr>
      <w:tr>
        <w:tblPrEx>
          <w:tblLayout w:type="fixed"/>
          <w:tblCellMar>
            <w:top w:w="15" w:type="dxa"/>
            <w:left w:w="15" w:type="dxa"/>
            <w:bottom w:w="15" w:type="dxa"/>
            <w:right w:w="15" w:type="dxa"/>
          </w:tblCellMar>
        </w:tblPrEx>
        <w:trPr>
          <w:trHeight w:val="171" w:hRule="atLeast"/>
        </w:trPr>
        <w:tc>
          <w:tcPr>
            <w:tcW w:w="1524" w:type="dxa"/>
            <w:tcBorders>
              <w:left w:val="single" w:color="000000" w:sz="4" w:space="0"/>
              <w:bottom w:val="single" w:color="000000" w:sz="4" w:space="0"/>
              <w:right w:val="single" w:color="auto" w:sz="4" w:space="0"/>
            </w:tcBorders>
            <w:vAlign w:val="center"/>
          </w:tcPr>
          <w:p/>
        </w:tc>
        <w:tc>
          <w:tcPr>
            <w:tcW w:w="244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FF0000"/>
                <w:kern w:val="0"/>
                <w:sz w:val="22"/>
                <w:szCs w:val="22"/>
                <w:lang w:bidi="ar"/>
              </w:rPr>
            </w:pPr>
            <w:r>
              <w:rPr>
                <w:rFonts w:hint="eastAsia" w:ascii="仿宋_GB2312" w:hAnsi="宋体" w:eastAsia="仿宋_GB2312" w:cs="仿宋_GB2312"/>
                <w:color w:val="000000"/>
                <w:kern w:val="0"/>
                <w:sz w:val="22"/>
                <w:szCs w:val="22"/>
                <w:lang w:bidi="ar"/>
              </w:rPr>
              <w:t>国有资本经营收入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FF0000"/>
                <w:kern w:val="0"/>
                <w:sz w:val="22"/>
                <w:szCs w:val="22"/>
                <w:lang w:bidi="ar"/>
              </w:rPr>
            </w:pPr>
            <w:r>
              <w:rPr>
                <w:rFonts w:hint="eastAsia" w:ascii="仿宋_GB2312" w:hAnsi="宋体" w:eastAsia="仿宋_GB2312" w:cs="仿宋_GB2312"/>
                <w:color w:val="000000"/>
                <w:kern w:val="0"/>
                <w:sz w:val="22"/>
                <w:szCs w:val="22"/>
                <w:lang w:bidi="ar"/>
              </w:rPr>
              <w:t>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FF0000"/>
                <w:kern w:val="0"/>
                <w:sz w:val="22"/>
                <w:szCs w:val="22"/>
                <w:lang w:bidi="ar"/>
              </w:rPr>
            </w:pPr>
            <w:r>
              <w:rPr>
                <w:rFonts w:hint="eastAsia" w:ascii="仿宋_GB2312" w:hAnsi="宋体" w:eastAsia="仿宋_GB2312" w:cs="仿宋_GB2312"/>
                <w:color w:val="000000"/>
                <w:kern w:val="0"/>
                <w:sz w:val="22"/>
                <w:szCs w:val="22"/>
                <w:lang w:bidi="ar"/>
              </w:rPr>
              <w:t>41,209</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FF0000"/>
                <w:kern w:val="0"/>
                <w:sz w:val="22"/>
                <w:szCs w:val="22"/>
                <w:lang w:bidi="ar"/>
              </w:rPr>
            </w:pPr>
            <w:r>
              <w:rPr>
                <w:rFonts w:hint="eastAsia" w:ascii="仿宋_GB2312" w:hAnsi="宋体" w:eastAsia="仿宋_GB2312" w:cs="仿宋_GB2312"/>
                <w:color w:val="000000"/>
                <w:kern w:val="0"/>
                <w:sz w:val="22"/>
                <w:szCs w:val="22"/>
                <w:lang w:bidi="ar"/>
              </w:rPr>
              <w:t>-</w:t>
            </w:r>
          </w:p>
        </w:tc>
      </w:tr>
      <w:tr>
        <w:tblPrEx>
          <w:tblLayout w:type="fixed"/>
          <w:tblCellMar>
            <w:top w:w="15" w:type="dxa"/>
            <w:left w:w="15" w:type="dxa"/>
            <w:bottom w:w="15" w:type="dxa"/>
            <w:right w:w="15" w:type="dxa"/>
          </w:tblCellMar>
        </w:tblPrEx>
        <w:trPr>
          <w:trHeight w:val="270" w:hRule="atLeast"/>
        </w:trPr>
        <w:tc>
          <w:tcPr>
            <w:tcW w:w="1524" w:type="dxa"/>
            <w:tcBorders>
              <w:left w:val="single" w:color="000000" w:sz="4" w:space="0"/>
              <w:bottom w:val="single" w:color="000000" w:sz="4" w:space="0"/>
              <w:right w:val="single" w:color="000000" w:sz="4" w:space="0"/>
            </w:tcBorders>
            <w:shd w:val="clear" w:color="auto" w:fill="D7D7D7"/>
            <w:vAlign w:val="bottom"/>
          </w:tcPr>
          <w:p>
            <w:pPr>
              <w:jc w:val="center"/>
              <w:rPr>
                <w:rFonts w:ascii="仿宋_GB2312" w:hAnsi="宋体" w:eastAsia="仿宋_GB2312" w:cs="仿宋_GB2312"/>
                <w:color w:val="FF0000"/>
                <w:sz w:val="22"/>
                <w:szCs w:val="22"/>
              </w:rPr>
            </w:pPr>
          </w:p>
        </w:tc>
        <w:tc>
          <w:tcPr>
            <w:tcW w:w="2446" w:type="dxa"/>
            <w:tcBorders>
              <w:top w:val="single" w:color="auto"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color w:val="FF0000"/>
                <w:sz w:val="22"/>
                <w:szCs w:val="22"/>
              </w:rPr>
            </w:pPr>
            <w:r>
              <w:rPr>
                <w:rFonts w:hint="eastAsia" w:ascii="仿宋_GB2312" w:hAnsi="宋体" w:eastAsia="仿宋_GB2312" w:cs="仿宋_GB2312"/>
                <w:b/>
                <w:color w:val="000000"/>
                <w:kern w:val="0"/>
                <w:sz w:val="22"/>
                <w:szCs w:val="22"/>
                <w:lang w:bidi="ar"/>
              </w:rPr>
              <w:t>管委会收入小计</w:t>
            </w:r>
          </w:p>
        </w:tc>
        <w:tc>
          <w:tcPr>
            <w:tcW w:w="1559" w:type="dxa"/>
            <w:tcBorders>
              <w:top w:val="single" w:color="auto"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2"/>
                <w:szCs w:val="22"/>
              </w:rPr>
            </w:pPr>
            <w:r>
              <w:rPr>
                <w:rFonts w:hint="eastAsia" w:ascii="仿宋_GB2312" w:hAnsi="宋体" w:eastAsia="仿宋_GB2312" w:cs="仿宋_GB2312"/>
                <w:b/>
                <w:color w:val="000000"/>
                <w:kern w:val="0"/>
                <w:sz w:val="22"/>
                <w:szCs w:val="22"/>
                <w:lang w:bidi="ar"/>
              </w:rPr>
              <w:t>173,071</w:t>
            </w:r>
          </w:p>
        </w:tc>
        <w:tc>
          <w:tcPr>
            <w:tcW w:w="1276" w:type="dxa"/>
            <w:tcBorders>
              <w:top w:val="single" w:color="auto"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color w:val="FF0000"/>
                <w:sz w:val="22"/>
                <w:szCs w:val="22"/>
              </w:rPr>
            </w:pPr>
            <w:r>
              <w:rPr>
                <w:rFonts w:hint="eastAsia" w:ascii="仿宋_GB2312" w:hAnsi="宋体" w:eastAsia="仿宋_GB2312" w:cs="仿宋_GB2312"/>
                <w:b/>
                <w:color w:val="000000"/>
                <w:kern w:val="0"/>
                <w:sz w:val="22"/>
                <w:szCs w:val="22"/>
                <w:lang w:bidi="ar"/>
              </w:rPr>
              <w:t>284,869</w:t>
            </w:r>
          </w:p>
        </w:tc>
        <w:tc>
          <w:tcPr>
            <w:tcW w:w="1417" w:type="dxa"/>
            <w:tcBorders>
              <w:top w:val="single" w:color="auto"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65%</w:t>
            </w:r>
          </w:p>
        </w:tc>
      </w:tr>
      <w:tr>
        <w:tblPrEx>
          <w:tblLayout w:type="fixed"/>
          <w:tblCellMar>
            <w:top w:w="15" w:type="dxa"/>
            <w:left w:w="15" w:type="dxa"/>
            <w:bottom w:w="15" w:type="dxa"/>
            <w:right w:w="15" w:type="dxa"/>
          </w:tblCellMar>
        </w:tblPrEx>
        <w:trPr>
          <w:trHeight w:val="90" w:hRule="atLeast"/>
        </w:trPr>
        <w:tc>
          <w:tcPr>
            <w:tcW w:w="1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分类汇总</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公共预算收入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color w:val="000000"/>
                <w:kern w:val="0"/>
                <w:sz w:val="22"/>
                <w:szCs w:val="22"/>
                <w:lang w:bidi="ar"/>
              </w:rPr>
              <w:t>432,702</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753,641</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74%</w:t>
            </w:r>
          </w:p>
        </w:tc>
      </w:tr>
      <w:tr>
        <w:tblPrEx>
          <w:tblLayout w:type="fixed"/>
          <w:tblCellMar>
            <w:top w:w="15" w:type="dxa"/>
            <w:left w:w="15" w:type="dxa"/>
            <w:bottom w:w="15" w:type="dxa"/>
            <w:right w:w="15" w:type="dxa"/>
          </w:tblCellMar>
        </w:tblPrEx>
        <w:trPr>
          <w:trHeight w:val="270"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2"/>
                <w:szCs w:val="22"/>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0"/>
                <w:szCs w:val="20"/>
                <w:lang w:bidi="ar"/>
              </w:rPr>
              <w:t xml:space="preserve">   其中：1.税收</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color w:val="000000"/>
                <w:kern w:val="0"/>
                <w:sz w:val="22"/>
                <w:szCs w:val="22"/>
                <w:lang w:bidi="ar"/>
              </w:rPr>
              <w:t>405,609</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707,261</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74%</w:t>
            </w:r>
          </w:p>
        </w:tc>
      </w:tr>
      <w:tr>
        <w:tblPrEx>
          <w:tblLayout w:type="fixed"/>
          <w:tblCellMar>
            <w:top w:w="15" w:type="dxa"/>
            <w:left w:w="15" w:type="dxa"/>
            <w:bottom w:w="15" w:type="dxa"/>
            <w:right w:w="15" w:type="dxa"/>
          </w:tblCellMar>
        </w:tblPrEx>
        <w:trPr>
          <w:trHeight w:val="90"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2"/>
                <w:szCs w:val="22"/>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0"/>
                <w:szCs w:val="20"/>
              </w:rPr>
            </w:pPr>
            <w:r>
              <w:rPr>
                <w:rFonts w:hint="eastAsia" w:ascii="仿宋_GB2312" w:hAnsi="宋体" w:eastAsia="仿宋_GB2312" w:cs="仿宋_GB2312"/>
                <w:color w:val="000000"/>
                <w:kern w:val="0"/>
                <w:sz w:val="20"/>
                <w:szCs w:val="20"/>
                <w:lang w:bidi="ar"/>
              </w:rPr>
              <w:t xml:space="preserve">       2.非税收入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color w:val="000000"/>
                <w:kern w:val="0"/>
                <w:sz w:val="22"/>
                <w:szCs w:val="22"/>
                <w:lang w:bidi="ar"/>
              </w:rPr>
              <w:t>27,093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46,380</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71%</w:t>
            </w:r>
          </w:p>
        </w:tc>
      </w:tr>
      <w:tr>
        <w:tblPrEx>
          <w:tblLayout w:type="fixed"/>
          <w:tblCellMar>
            <w:top w:w="15" w:type="dxa"/>
            <w:left w:w="15" w:type="dxa"/>
            <w:bottom w:w="15" w:type="dxa"/>
            <w:right w:w="15" w:type="dxa"/>
          </w:tblCellMar>
        </w:tblPrEx>
        <w:trPr>
          <w:trHeight w:val="270"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2"/>
                <w:szCs w:val="22"/>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基金收入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color w:val="000000"/>
                <w:kern w:val="0"/>
                <w:sz w:val="22"/>
                <w:szCs w:val="22"/>
                <w:lang w:bidi="ar"/>
              </w:rPr>
              <w:t>33,728</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32,137</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-5%</w:t>
            </w:r>
          </w:p>
        </w:tc>
      </w:tr>
      <w:tr>
        <w:tblPrEx>
          <w:tblLayout w:type="fixed"/>
          <w:tblCellMar>
            <w:top w:w="15" w:type="dxa"/>
            <w:left w:w="15" w:type="dxa"/>
            <w:bottom w:w="15" w:type="dxa"/>
            <w:right w:w="15" w:type="dxa"/>
          </w:tblCellMar>
        </w:tblPrEx>
        <w:trPr>
          <w:trHeight w:val="90"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2"/>
                <w:szCs w:val="22"/>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b/>
                <w:color w:val="FF0000"/>
                <w:sz w:val="22"/>
                <w:szCs w:val="22"/>
              </w:rPr>
            </w:pPr>
            <w:r>
              <w:rPr>
                <w:rFonts w:hint="eastAsia" w:ascii="仿宋_GB2312" w:hAnsi="宋体" w:eastAsia="仿宋_GB2312" w:cs="仿宋_GB2312"/>
                <w:color w:val="000000"/>
                <w:kern w:val="0"/>
                <w:sz w:val="22"/>
                <w:szCs w:val="22"/>
                <w:lang w:bidi="ar"/>
              </w:rPr>
              <w:t>国有资本经营预算收入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b/>
                <w:sz w:val="22"/>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FF0000"/>
                <w:sz w:val="22"/>
                <w:szCs w:val="22"/>
              </w:rPr>
            </w:pPr>
            <w:r>
              <w:rPr>
                <w:rFonts w:hint="eastAsia" w:ascii="仿宋_GB2312" w:hAnsi="宋体" w:eastAsia="仿宋_GB2312" w:cs="仿宋_GB2312"/>
                <w:color w:val="000000"/>
                <w:kern w:val="0"/>
                <w:sz w:val="22"/>
                <w:szCs w:val="22"/>
                <w:lang w:bidi="ar"/>
              </w:rPr>
              <w:t>41,209</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w:t>
            </w:r>
          </w:p>
        </w:tc>
      </w:tr>
      <w:tr>
        <w:tblPrEx>
          <w:tblLayout w:type="fixed"/>
          <w:tblCellMar>
            <w:top w:w="15" w:type="dxa"/>
            <w:left w:w="15" w:type="dxa"/>
            <w:bottom w:w="15" w:type="dxa"/>
            <w:right w:w="15" w:type="dxa"/>
          </w:tblCellMar>
        </w:tblPrEx>
        <w:trPr>
          <w:trHeight w:val="90" w:hRule="atLeast"/>
        </w:trPr>
        <w:tc>
          <w:tcPr>
            <w:tcW w:w="1524" w:type="dxa"/>
            <w:tcBorders>
              <w:top w:val="single" w:color="000000" w:sz="4" w:space="0"/>
              <w:left w:val="single" w:color="000000" w:sz="4" w:space="0"/>
              <w:bottom w:val="single" w:color="000000" w:sz="4" w:space="0"/>
              <w:right w:val="single" w:color="000000" w:sz="4" w:space="0"/>
            </w:tcBorders>
            <w:shd w:val="clear" w:color="auto" w:fill="D7D7D7"/>
            <w:vAlign w:val="bottom"/>
          </w:tcPr>
          <w:p>
            <w:pPr>
              <w:jc w:val="center"/>
              <w:rPr>
                <w:rFonts w:ascii="仿宋_GB2312" w:hAnsi="宋体" w:eastAsia="仿宋_GB2312" w:cs="仿宋_GB2312"/>
                <w:color w:val="FF0000"/>
                <w:sz w:val="22"/>
                <w:szCs w:val="22"/>
              </w:rPr>
            </w:pPr>
          </w:p>
        </w:tc>
        <w:tc>
          <w:tcPr>
            <w:tcW w:w="244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b/>
                <w:color w:val="000000"/>
                <w:kern w:val="0"/>
                <w:sz w:val="22"/>
                <w:szCs w:val="22"/>
                <w:lang w:bidi="ar"/>
              </w:rPr>
              <w:t>全口径收入合计</w:t>
            </w:r>
          </w:p>
        </w:tc>
        <w:tc>
          <w:tcPr>
            <w:tcW w:w="1559"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2"/>
                <w:szCs w:val="22"/>
              </w:rPr>
            </w:pPr>
            <w:r>
              <w:rPr>
                <w:rFonts w:hint="eastAsia" w:ascii="仿宋_GB2312" w:hAnsi="宋体" w:eastAsia="仿宋_GB2312" w:cs="仿宋_GB2312"/>
                <w:b/>
                <w:color w:val="000000"/>
                <w:kern w:val="0"/>
                <w:sz w:val="22"/>
                <w:szCs w:val="22"/>
                <w:lang w:bidi="ar"/>
              </w:rPr>
              <w:t>466,430</w:t>
            </w:r>
          </w:p>
        </w:tc>
        <w:tc>
          <w:tcPr>
            <w:tcW w:w="127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b/>
                <w:color w:val="000000"/>
                <w:kern w:val="0"/>
                <w:sz w:val="22"/>
                <w:szCs w:val="22"/>
                <w:lang w:bidi="ar"/>
              </w:rPr>
              <w:t>826,987</w:t>
            </w:r>
          </w:p>
        </w:tc>
        <w:tc>
          <w:tcPr>
            <w:tcW w:w="1417"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77%</w:t>
            </w:r>
          </w:p>
        </w:tc>
      </w:tr>
    </w:tbl>
    <w:p>
      <w:pPr>
        <w:widowControl/>
        <w:shd w:val="clear" w:color="auto" w:fill="FFFFFF"/>
        <w:spacing w:line="240" w:lineRule="exact"/>
        <w:jc w:val="left"/>
        <w:rPr>
          <w:rFonts w:ascii="仿宋_GB2312" w:hAnsi="宋体" w:eastAsia="仿宋_GB2312" w:cs="宋体"/>
          <w:color w:val="FF0000"/>
          <w:kern w:val="0"/>
          <w:sz w:val="32"/>
          <w:szCs w:val="32"/>
        </w:rPr>
      </w:pPr>
      <w:r>
        <w:rPr>
          <w:rFonts w:hint="eastAsia" w:ascii="仿宋_GB2312" w:hAnsi="宋体" w:eastAsia="仿宋_GB2312" w:cs="宋体"/>
          <w:kern w:val="0"/>
          <w:sz w:val="24"/>
        </w:rPr>
        <w:t xml:space="preserve">      表一                        </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单位：万元</w:t>
      </w:r>
    </w:p>
    <w:p>
      <w:pPr>
        <w:widowControl/>
        <w:shd w:val="clear" w:color="auto" w:fill="FFFFFF"/>
        <w:spacing w:line="560" w:lineRule="exact"/>
        <w:ind w:firstLine="640" w:firstLineChars="200"/>
        <w:jc w:val="left"/>
        <w:rPr>
          <w:rFonts w:ascii="仿宋_GB2312" w:hAnsi="宋体" w:eastAsia="仿宋_GB2312" w:cs="宋体"/>
          <w:kern w:val="0"/>
          <w:sz w:val="32"/>
          <w:szCs w:val="32"/>
        </w:rPr>
      </w:pP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201</w:t>
      </w:r>
      <w:r>
        <w:rPr>
          <w:rFonts w:hint="eastAsia" w:ascii="仿宋_GB2312" w:hAnsi="宋体" w:eastAsia="仿宋_GB2312" w:cs="宋体"/>
          <w:kern w:val="0"/>
          <w:sz w:val="32"/>
          <w:szCs w:val="32"/>
        </w:rPr>
        <w:t>7年，管委会认真贯彻落实国家政策，一方面，进一步加强收入管理，协调国、地税部门严格税收征管，确保收入应收尽收；另一方面，加快财政支出进度，安排资金保障基地建设发展需要。对比2016年，宁东基地本级财政收支情况均好于去年，本级财政总收入来源和总支出运用水平达到</w:t>
      </w:r>
      <w:r>
        <w:rPr>
          <w:rFonts w:hint="eastAsia" w:ascii="仿宋_GB2312" w:hAnsi="宋体" w:eastAsia="仿宋_GB2312" w:cs="宋体"/>
          <w:kern w:val="0"/>
          <w:sz w:val="32"/>
          <w:szCs w:val="32"/>
          <w:lang w:val="en-US" w:eastAsia="zh-CN"/>
        </w:rPr>
        <w:t>56.87</w:t>
      </w:r>
      <w:r>
        <w:rPr>
          <w:rFonts w:hint="eastAsia" w:ascii="仿宋_GB2312" w:hAnsi="宋体" w:eastAsia="仿宋_GB2312" w:cs="宋体"/>
          <w:kern w:val="0"/>
          <w:sz w:val="32"/>
          <w:szCs w:val="32"/>
        </w:rPr>
        <w:t>亿元，增长</w:t>
      </w:r>
      <w:r>
        <w:rPr>
          <w:rFonts w:hint="eastAsia" w:ascii="仿宋_GB2312" w:hAnsi="宋体" w:eastAsia="仿宋_GB2312" w:cs="宋体"/>
          <w:kern w:val="0"/>
          <w:sz w:val="32"/>
          <w:szCs w:val="32"/>
          <w:lang w:val="en-US" w:eastAsia="zh-CN"/>
        </w:rPr>
        <w:t>44</w:t>
      </w:r>
      <w:r>
        <w:rPr>
          <w:rFonts w:hint="eastAsia" w:ascii="仿宋_GB2312" w:hAnsi="宋体" w:eastAsia="仿宋_GB2312" w:cs="宋体"/>
          <w:kern w:val="0"/>
          <w:sz w:val="32"/>
          <w:szCs w:val="32"/>
        </w:rPr>
        <w:t>%，为基地全面建设快速发展提供了强有力的财政支撑。（见表二）</w:t>
      </w:r>
    </w:p>
    <w:p>
      <w:pPr>
        <w:widowControl/>
        <w:shd w:val="clear" w:color="auto" w:fill="FFFFFF"/>
        <w:spacing w:line="640" w:lineRule="exact"/>
        <w:ind w:firstLine="1920" w:firstLineChars="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宁东基地2017年本级财政总收支统计表</w:t>
      </w:r>
    </w:p>
    <w:p>
      <w:pPr>
        <w:widowControl/>
        <w:shd w:val="clear" w:color="auto" w:fill="FFFFFF"/>
        <w:spacing w:line="240" w:lineRule="exact"/>
        <w:ind w:firstLine="480" w:firstLineChars="2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表二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 xml:space="preserve">         单位：万元</w:t>
      </w:r>
    </w:p>
    <w:p>
      <w:pPr>
        <w:widowControl/>
        <w:shd w:val="clear" w:color="auto" w:fill="FFFFFF"/>
        <w:spacing w:line="240" w:lineRule="exact"/>
        <w:jc w:val="left"/>
        <w:rPr>
          <w:rFonts w:ascii="仿宋_GB2312" w:hAnsi="宋体" w:eastAsia="仿宋_GB2312" w:cs="宋体"/>
          <w:color w:val="000000"/>
          <w:kern w:val="0"/>
          <w:sz w:val="24"/>
        </w:rPr>
      </w:pPr>
    </w:p>
    <w:tbl>
      <w:tblPr>
        <w:tblStyle w:val="8"/>
        <w:tblW w:w="8647" w:type="dxa"/>
        <w:tblInd w:w="157" w:type="dxa"/>
        <w:tblLayout w:type="fixed"/>
        <w:tblCellMar>
          <w:top w:w="15" w:type="dxa"/>
          <w:left w:w="15" w:type="dxa"/>
          <w:bottom w:w="15" w:type="dxa"/>
          <w:right w:w="15" w:type="dxa"/>
        </w:tblCellMar>
      </w:tblPr>
      <w:tblGrid>
        <w:gridCol w:w="1478"/>
        <w:gridCol w:w="1065"/>
        <w:gridCol w:w="1020"/>
        <w:gridCol w:w="831"/>
        <w:gridCol w:w="1418"/>
        <w:gridCol w:w="992"/>
        <w:gridCol w:w="992"/>
        <w:gridCol w:w="851"/>
      </w:tblGrid>
      <w:tr>
        <w:tblPrEx>
          <w:tblLayout w:type="fixed"/>
          <w:tblCellMar>
            <w:top w:w="15" w:type="dxa"/>
            <w:left w:w="15" w:type="dxa"/>
            <w:bottom w:w="15" w:type="dxa"/>
            <w:right w:w="15" w:type="dxa"/>
          </w:tblCellMar>
        </w:tblPrEx>
        <w:trPr>
          <w:trHeight w:val="90" w:hRule="atLeast"/>
        </w:trPr>
        <w:tc>
          <w:tcPr>
            <w:tcW w:w="439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收 入</w:t>
            </w:r>
          </w:p>
        </w:tc>
        <w:tc>
          <w:tcPr>
            <w:tcW w:w="425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支 出</w:t>
            </w:r>
          </w:p>
        </w:tc>
      </w:tr>
      <w:tr>
        <w:tblPrEx>
          <w:tblLayout w:type="fixed"/>
          <w:tblCellMar>
            <w:top w:w="15" w:type="dxa"/>
            <w:left w:w="15" w:type="dxa"/>
            <w:bottom w:w="15" w:type="dxa"/>
            <w:right w:w="15" w:type="dxa"/>
          </w:tblCellMar>
        </w:tblPrEx>
        <w:trPr>
          <w:trHeight w:val="90" w:hRule="atLeast"/>
        </w:trPr>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项目</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2016年</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2017年</w:t>
            </w:r>
          </w:p>
        </w:tc>
        <w:tc>
          <w:tcPr>
            <w:tcW w:w="8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增长率</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项目</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2016年</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2017年</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增长率</w:t>
            </w:r>
          </w:p>
        </w:tc>
      </w:tr>
      <w:tr>
        <w:tblPrEx>
          <w:tblLayout w:type="fixed"/>
          <w:tblCellMar>
            <w:top w:w="15" w:type="dxa"/>
            <w:left w:w="15" w:type="dxa"/>
            <w:bottom w:w="15" w:type="dxa"/>
            <w:right w:w="15" w:type="dxa"/>
          </w:tblCellMar>
        </w:tblPrEx>
        <w:trPr>
          <w:trHeight w:val="90" w:hRule="atLeast"/>
        </w:trPr>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一般预算收入</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143,757</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211,523</w:t>
            </w:r>
          </w:p>
        </w:tc>
        <w:tc>
          <w:tcPr>
            <w:tcW w:w="83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47%</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一般预算</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173,056</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auto"/>
                <w:kern w:val="0"/>
                <w:sz w:val="22"/>
                <w:szCs w:val="22"/>
                <w:lang w:bidi="ar"/>
              </w:rPr>
              <w:t>225,</w:t>
            </w:r>
            <w:r>
              <w:rPr>
                <w:rFonts w:hint="eastAsia" w:ascii="仿宋_GB2312" w:hAnsi="宋体" w:eastAsia="仿宋_GB2312" w:cs="仿宋_GB2312"/>
                <w:color w:val="auto"/>
                <w:kern w:val="0"/>
                <w:sz w:val="22"/>
                <w:szCs w:val="22"/>
                <w:lang w:val="en-US" w:eastAsia="zh-CN" w:bidi="ar"/>
              </w:rPr>
              <w:t>650</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FF0000"/>
                <w:sz w:val="22"/>
                <w:szCs w:val="22"/>
                <w:shd w:val="clear" w:color="FFFFFF" w:fill="D9D9D9"/>
              </w:rPr>
            </w:pPr>
            <w:r>
              <w:rPr>
                <w:rFonts w:hint="eastAsia" w:ascii="仿宋_GB2312" w:hAnsi="宋体" w:eastAsia="仿宋_GB2312" w:cs="仿宋_GB2312"/>
                <w:color w:val="000000"/>
                <w:kern w:val="0"/>
                <w:sz w:val="22"/>
                <w:szCs w:val="22"/>
                <w:lang w:bidi="ar"/>
              </w:rPr>
              <w:t>30%</w:t>
            </w:r>
          </w:p>
        </w:tc>
      </w:tr>
      <w:tr>
        <w:tblPrEx>
          <w:tblLayout w:type="fixed"/>
          <w:tblCellMar>
            <w:top w:w="15" w:type="dxa"/>
            <w:left w:w="15" w:type="dxa"/>
            <w:bottom w:w="15" w:type="dxa"/>
            <w:right w:w="15" w:type="dxa"/>
          </w:tblCellMar>
        </w:tblPrEx>
        <w:trPr>
          <w:trHeight w:val="90" w:hRule="atLeast"/>
        </w:trPr>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上级补助收入</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67,470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shd w:val="clear" w:color="FFFFFF" w:fill="D9D9D9"/>
              </w:rPr>
            </w:pPr>
            <w:r>
              <w:rPr>
                <w:rFonts w:hint="eastAsia" w:ascii="仿宋_GB2312" w:hAnsi="宋体" w:eastAsia="仿宋_GB2312" w:cs="仿宋_GB2312"/>
                <w:color w:val="auto"/>
                <w:kern w:val="0"/>
                <w:sz w:val="22"/>
                <w:szCs w:val="22"/>
                <w:lang w:bidi="ar"/>
              </w:rPr>
              <w:t>1</w:t>
            </w:r>
            <w:r>
              <w:rPr>
                <w:rFonts w:hint="eastAsia" w:ascii="仿宋_GB2312" w:hAnsi="宋体" w:eastAsia="仿宋_GB2312" w:cs="仿宋_GB2312"/>
                <w:color w:val="auto"/>
                <w:kern w:val="0"/>
                <w:sz w:val="22"/>
                <w:szCs w:val="22"/>
                <w:lang w:val="en-US" w:eastAsia="zh-CN" w:bidi="ar"/>
              </w:rPr>
              <w:t>46</w:t>
            </w:r>
            <w:r>
              <w:rPr>
                <w:rFonts w:hint="eastAsia" w:ascii="仿宋_GB2312" w:hAnsi="宋体" w:eastAsia="仿宋_GB2312" w:cs="仿宋_GB2312"/>
                <w:color w:val="auto"/>
                <w:kern w:val="0"/>
                <w:sz w:val="22"/>
                <w:szCs w:val="22"/>
                <w:lang w:bidi="ar"/>
              </w:rPr>
              <w:t>,</w:t>
            </w:r>
            <w:r>
              <w:rPr>
                <w:rFonts w:hint="eastAsia" w:ascii="仿宋_GB2312" w:hAnsi="宋体" w:eastAsia="仿宋_GB2312" w:cs="仿宋_GB2312"/>
                <w:color w:val="auto"/>
                <w:kern w:val="0"/>
                <w:sz w:val="22"/>
                <w:szCs w:val="22"/>
                <w:lang w:val="en-US" w:eastAsia="zh-CN" w:bidi="ar"/>
              </w:rPr>
              <w:t>393</w:t>
            </w:r>
          </w:p>
        </w:tc>
        <w:tc>
          <w:tcPr>
            <w:tcW w:w="83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FF0000"/>
                <w:sz w:val="22"/>
                <w:szCs w:val="22"/>
                <w:shd w:val="clear" w:color="FFFFFF" w:fill="D9D9D9"/>
              </w:rPr>
            </w:pPr>
            <w:r>
              <w:rPr>
                <w:rFonts w:hint="eastAsia" w:ascii="仿宋_GB2312" w:hAnsi="宋体" w:eastAsia="仿宋_GB2312" w:cs="仿宋_GB2312"/>
                <w:color w:val="000000"/>
                <w:kern w:val="0"/>
                <w:sz w:val="22"/>
                <w:szCs w:val="22"/>
                <w:lang w:val="en-US" w:eastAsia="zh-CN" w:bidi="ar"/>
              </w:rPr>
              <w:t>117</w:t>
            </w:r>
            <w:r>
              <w:rPr>
                <w:rFonts w:hint="eastAsia" w:ascii="仿宋_GB2312" w:hAnsi="宋体" w:eastAsia="仿宋_GB2312" w:cs="仿宋_GB2312"/>
                <w:color w:val="000000"/>
                <w:kern w:val="0"/>
                <w:sz w:val="22"/>
                <w:szCs w:val="22"/>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2"/>
                <w:szCs w:val="22"/>
              </w:rPr>
            </w:pPr>
            <w:r>
              <w:rPr>
                <w:rFonts w:hint="eastAsia" w:ascii="仿宋_GB2312" w:hAnsi="宋体" w:eastAsia="仿宋_GB2312" w:cs="仿宋_GB2312"/>
                <w:color w:val="000000"/>
                <w:kern w:val="0"/>
                <w:sz w:val="22"/>
                <w:szCs w:val="22"/>
                <w:lang w:bidi="ar"/>
              </w:rPr>
              <w:t>上解支出</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95,490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112,732</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FF0000"/>
                <w:sz w:val="22"/>
                <w:szCs w:val="22"/>
                <w:shd w:val="clear" w:color="FFFFFF" w:fill="D9D9D9"/>
              </w:rPr>
            </w:pPr>
            <w:r>
              <w:rPr>
                <w:rFonts w:hint="eastAsia" w:ascii="仿宋_GB2312" w:hAnsi="宋体" w:eastAsia="仿宋_GB2312" w:cs="仿宋_GB2312"/>
                <w:color w:val="000000"/>
                <w:kern w:val="0"/>
                <w:sz w:val="22"/>
                <w:szCs w:val="22"/>
                <w:lang w:bidi="ar"/>
              </w:rPr>
              <w:t>18%</w:t>
            </w:r>
          </w:p>
        </w:tc>
      </w:tr>
      <w:tr>
        <w:tblPrEx>
          <w:tblLayout w:type="fixed"/>
          <w:tblCellMar>
            <w:top w:w="15" w:type="dxa"/>
            <w:left w:w="15" w:type="dxa"/>
            <w:bottom w:w="15" w:type="dxa"/>
            <w:right w:w="15" w:type="dxa"/>
          </w:tblCellMar>
        </w:tblPrEx>
        <w:trPr>
          <w:trHeight w:val="90" w:hRule="atLeast"/>
        </w:trPr>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政府性基金</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29,918</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32,137</w:t>
            </w:r>
          </w:p>
        </w:tc>
        <w:tc>
          <w:tcPr>
            <w:tcW w:w="83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7%</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政府性基金</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43,658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27,313</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FF0000"/>
                <w:sz w:val="22"/>
                <w:szCs w:val="22"/>
                <w:shd w:val="clear" w:color="FFFFFF" w:fill="D9D9D9"/>
              </w:rPr>
            </w:pPr>
            <w:r>
              <w:rPr>
                <w:rFonts w:hint="eastAsia" w:ascii="仿宋_GB2312" w:hAnsi="宋体" w:eastAsia="仿宋_GB2312" w:cs="仿宋_GB2312"/>
                <w:color w:val="000000"/>
                <w:kern w:val="0"/>
                <w:sz w:val="22"/>
                <w:szCs w:val="22"/>
                <w:lang w:bidi="ar"/>
              </w:rPr>
              <w:t>-37%</w:t>
            </w:r>
          </w:p>
        </w:tc>
      </w:tr>
      <w:tr>
        <w:tblPrEx>
          <w:tblLayout w:type="fixed"/>
          <w:tblCellMar>
            <w:top w:w="15" w:type="dxa"/>
            <w:left w:w="15" w:type="dxa"/>
            <w:bottom w:w="15" w:type="dxa"/>
            <w:right w:w="15" w:type="dxa"/>
          </w:tblCellMar>
        </w:tblPrEx>
        <w:trPr>
          <w:trHeight w:val="90" w:hRule="atLeast"/>
        </w:trPr>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国有资本经营 预算</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41,209</w:t>
            </w:r>
          </w:p>
        </w:tc>
        <w:tc>
          <w:tcPr>
            <w:tcW w:w="83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国有资本经营 预算</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0</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kern w:val="0"/>
                <w:sz w:val="22"/>
                <w:szCs w:val="22"/>
                <w:lang w:bidi="ar"/>
              </w:rPr>
            </w:pPr>
            <w:r>
              <w:rPr>
                <w:rFonts w:hint="eastAsia" w:ascii="仿宋_GB2312" w:hAnsi="宋体" w:eastAsia="仿宋_GB2312" w:cs="仿宋_GB2312"/>
                <w:color w:val="000000"/>
                <w:kern w:val="0"/>
                <w:sz w:val="22"/>
                <w:szCs w:val="22"/>
                <w:lang w:bidi="ar"/>
              </w:rPr>
              <w:t>40,500</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FF0000"/>
                <w:sz w:val="22"/>
                <w:szCs w:val="22"/>
                <w:shd w:val="clear" w:color="FFFFFF" w:fill="D9D9D9"/>
              </w:rPr>
            </w:pPr>
            <w:r>
              <w:rPr>
                <w:rFonts w:hint="eastAsia" w:ascii="仿宋_GB2312" w:hAnsi="宋体" w:eastAsia="仿宋_GB2312" w:cs="仿宋_GB2312"/>
                <w:color w:val="000000"/>
                <w:kern w:val="0"/>
                <w:sz w:val="22"/>
                <w:szCs w:val="22"/>
                <w:lang w:bidi="ar"/>
              </w:rPr>
              <w:t>-</w:t>
            </w:r>
          </w:p>
        </w:tc>
      </w:tr>
      <w:tr>
        <w:tblPrEx>
          <w:tblLayout w:type="fixed"/>
          <w:tblCellMar>
            <w:top w:w="15" w:type="dxa"/>
            <w:left w:w="15" w:type="dxa"/>
            <w:bottom w:w="15" w:type="dxa"/>
            <w:right w:w="15" w:type="dxa"/>
          </w:tblCellMar>
        </w:tblPrEx>
        <w:trPr>
          <w:trHeight w:val="90" w:hRule="atLeast"/>
        </w:trPr>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地方政府债券</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134,349</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125,150</w:t>
            </w:r>
          </w:p>
        </w:tc>
        <w:tc>
          <w:tcPr>
            <w:tcW w:w="83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-7%</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债务还本</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64,349</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55,150</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sz w:val="22"/>
                <w:szCs w:val="22"/>
                <w:shd w:val="clear" w:color="FFFFFF" w:fill="D9D9D9"/>
              </w:rPr>
            </w:pPr>
            <w:r>
              <w:rPr>
                <w:rFonts w:hint="eastAsia" w:ascii="仿宋_GB2312" w:hAnsi="宋体" w:eastAsia="仿宋_GB2312" w:cs="仿宋_GB2312"/>
                <w:kern w:val="0"/>
                <w:sz w:val="22"/>
                <w:szCs w:val="22"/>
                <w:lang w:bidi="ar"/>
              </w:rPr>
              <w:t>-14%</w:t>
            </w:r>
          </w:p>
        </w:tc>
      </w:tr>
      <w:tr>
        <w:tblPrEx>
          <w:tblLayout w:type="fixed"/>
          <w:tblCellMar>
            <w:top w:w="15" w:type="dxa"/>
            <w:left w:w="15" w:type="dxa"/>
            <w:bottom w:w="15" w:type="dxa"/>
            <w:right w:w="15" w:type="dxa"/>
          </w:tblCellMar>
        </w:tblPrEx>
        <w:trPr>
          <w:trHeight w:val="90" w:hRule="atLeast"/>
        </w:trPr>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上年结转</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19,987</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12,279</w:t>
            </w:r>
          </w:p>
        </w:tc>
        <w:tc>
          <w:tcPr>
            <w:tcW w:w="83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-39%</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预算稳定调节基金</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sz w:val="22"/>
                <w:szCs w:val="22"/>
              </w:rPr>
              <w:t>159</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shd w:val="clear" w:color="FFFFFF" w:fill="D9D9D9"/>
              </w:rPr>
            </w:pPr>
            <w:r>
              <w:rPr>
                <w:rFonts w:hint="eastAsia" w:ascii="仿宋_GB2312" w:hAnsi="宋体" w:eastAsia="仿宋_GB2312" w:cs="仿宋_GB2312"/>
                <w:kern w:val="0"/>
                <w:sz w:val="22"/>
                <w:szCs w:val="22"/>
                <w:lang w:val="en-US" w:eastAsia="zh-CN" w:bidi="ar"/>
              </w:rPr>
              <w:t>53</w:t>
            </w:r>
            <w:r>
              <w:rPr>
                <w:rFonts w:hint="eastAsia" w:ascii="仿宋_GB2312" w:hAnsi="宋体" w:eastAsia="仿宋_GB2312" w:cs="仿宋_GB2312"/>
                <w:kern w:val="0"/>
                <w:sz w:val="22"/>
                <w:szCs w:val="22"/>
                <w:lang w:bidi="ar"/>
              </w:rPr>
              <w:t>,390</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sz w:val="22"/>
                <w:szCs w:val="22"/>
                <w:shd w:val="clear" w:color="FFFFFF" w:fill="D9D9D9"/>
              </w:rPr>
            </w:pPr>
            <w:r>
              <w:rPr>
                <w:rFonts w:hint="eastAsia" w:ascii="仿宋_GB2312" w:hAnsi="宋体" w:eastAsia="仿宋_GB2312" w:cs="仿宋_GB2312"/>
                <w:sz w:val="22"/>
                <w:szCs w:val="22"/>
                <w:shd w:val="clear" w:color="auto" w:fill="auto"/>
              </w:rPr>
              <w:t>-</w:t>
            </w:r>
          </w:p>
        </w:tc>
      </w:tr>
      <w:tr>
        <w:tblPrEx>
          <w:tblLayout w:type="fixed"/>
          <w:tblCellMar>
            <w:top w:w="15" w:type="dxa"/>
            <w:left w:w="15" w:type="dxa"/>
            <w:bottom w:w="15" w:type="dxa"/>
            <w:right w:w="15" w:type="dxa"/>
          </w:tblCellMar>
        </w:tblPrEx>
        <w:trPr>
          <w:trHeight w:val="90" w:hRule="atLeast"/>
        </w:trPr>
        <w:tc>
          <w:tcPr>
            <w:tcW w:w="14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2"/>
                <w:szCs w:val="22"/>
                <w:shd w:val="clear" w:color="FFFFFF" w:fill="D9D9D9"/>
              </w:rPr>
            </w:pP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2"/>
                <w:szCs w:val="22"/>
                <w:shd w:val="clear" w:color="FFFFFF" w:fill="D9D9D9"/>
              </w:rPr>
            </w:pPr>
          </w:p>
        </w:tc>
        <w:tc>
          <w:tcPr>
            <w:tcW w:w="1020"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2"/>
                <w:szCs w:val="22"/>
                <w:shd w:val="clear" w:color="FFFFFF" w:fill="D9D9D9"/>
              </w:rPr>
            </w:pPr>
          </w:p>
        </w:tc>
        <w:tc>
          <w:tcPr>
            <w:tcW w:w="83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宋体" w:eastAsia="仿宋_GB2312" w:cs="仿宋_GB2312"/>
                <w:sz w:val="22"/>
                <w:szCs w:val="22"/>
                <w:shd w:val="clear" w:color="FFFFFF" w:fill="D9D9D9"/>
              </w:rPr>
            </w:pPr>
            <w:r>
              <w:rPr>
                <w:rFonts w:hint="eastAsia" w:ascii="仿宋_GB2312" w:hAnsi="宋体" w:eastAsia="仿宋_GB2312" w:cs="仿宋_GB2312"/>
                <w:kern w:val="0"/>
                <w:sz w:val="22"/>
                <w:szCs w:val="22"/>
                <w:lang w:bidi="ar"/>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结转下年</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15,828</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sz w:val="22"/>
                <w:szCs w:val="22"/>
                <w:shd w:val="clear" w:color="FFFFFF" w:fill="D9D9D9"/>
                <w:lang w:eastAsia="zh-CN"/>
              </w:rPr>
            </w:pPr>
            <w:r>
              <w:rPr>
                <w:rFonts w:hint="eastAsia" w:ascii="仿宋_GB2312" w:hAnsi="宋体" w:eastAsia="仿宋_GB2312" w:cs="仿宋_GB2312"/>
                <w:color w:val="auto"/>
                <w:kern w:val="0"/>
                <w:sz w:val="22"/>
                <w:szCs w:val="22"/>
                <w:lang w:val="en-US" w:eastAsia="zh-CN" w:bidi="ar"/>
              </w:rPr>
              <w:t>53,956</w:t>
            </w:r>
          </w:p>
        </w:tc>
        <w:tc>
          <w:tcPr>
            <w:tcW w:w="851"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仿宋_GB2312" w:hAnsi="宋体" w:eastAsia="仿宋_GB2312" w:cs="仿宋_GB2312"/>
                <w:kern w:val="0"/>
                <w:sz w:val="22"/>
                <w:szCs w:val="22"/>
                <w:lang w:val="en-US" w:eastAsia="zh-CN" w:bidi="ar"/>
              </w:rPr>
            </w:pPr>
            <w:r>
              <w:rPr>
                <w:rFonts w:hint="eastAsia" w:ascii="仿宋_GB2312" w:hAnsi="宋体" w:eastAsia="仿宋_GB2312" w:cs="仿宋_GB2312"/>
                <w:kern w:val="0"/>
                <w:sz w:val="22"/>
                <w:szCs w:val="22"/>
                <w:lang w:val="en-US" w:eastAsia="zh-CN" w:bidi="ar"/>
              </w:rPr>
              <w:t>-</w:t>
            </w:r>
          </w:p>
        </w:tc>
      </w:tr>
      <w:tr>
        <w:tblPrEx>
          <w:tblLayout w:type="fixed"/>
          <w:tblCellMar>
            <w:top w:w="15" w:type="dxa"/>
            <w:left w:w="15" w:type="dxa"/>
            <w:bottom w:w="15" w:type="dxa"/>
            <w:right w:w="15" w:type="dxa"/>
          </w:tblCellMar>
        </w:tblPrEx>
        <w:trPr>
          <w:trHeight w:val="90" w:hRule="atLeast"/>
        </w:trPr>
        <w:tc>
          <w:tcPr>
            <w:tcW w:w="1478"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总收入来源</w:t>
            </w:r>
          </w:p>
        </w:tc>
        <w:tc>
          <w:tcPr>
            <w:tcW w:w="1065"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395,481</w:t>
            </w:r>
          </w:p>
        </w:tc>
        <w:tc>
          <w:tcPr>
            <w:tcW w:w="1020"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bCs/>
                <w:sz w:val="22"/>
                <w:szCs w:val="22"/>
                <w:shd w:val="clear" w:color="FFFFFF" w:fill="D9D9D9"/>
              </w:rPr>
            </w:pPr>
            <w:r>
              <w:rPr>
                <w:rFonts w:hint="eastAsia" w:ascii="仿宋_GB2312" w:hAnsi="宋体" w:eastAsia="仿宋_GB2312" w:cs="仿宋_GB2312"/>
                <w:b/>
                <w:kern w:val="0"/>
                <w:sz w:val="22"/>
                <w:szCs w:val="22"/>
                <w:lang w:bidi="ar"/>
              </w:rPr>
              <w:t>5</w:t>
            </w:r>
            <w:r>
              <w:rPr>
                <w:rFonts w:hint="eastAsia" w:ascii="仿宋_GB2312" w:hAnsi="宋体" w:eastAsia="仿宋_GB2312" w:cs="仿宋_GB2312"/>
                <w:b/>
                <w:kern w:val="0"/>
                <w:sz w:val="22"/>
                <w:szCs w:val="22"/>
                <w:lang w:val="en-US" w:eastAsia="zh-CN" w:bidi="ar"/>
              </w:rPr>
              <w:t>68</w:t>
            </w:r>
            <w:r>
              <w:rPr>
                <w:rFonts w:hint="eastAsia" w:ascii="仿宋_GB2312" w:hAnsi="宋体" w:eastAsia="仿宋_GB2312" w:cs="仿宋_GB2312"/>
                <w:b/>
                <w:kern w:val="0"/>
                <w:sz w:val="22"/>
                <w:szCs w:val="22"/>
                <w:lang w:bidi="ar"/>
              </w:rPr>
              <w:t>,</w:t>
            </w:r>
            <w:r>
              <w:rPr>
                <w:rFonts w:hint="eastAsia" w:ascii="仿宋_GB2312" w:hAnsi="宋体" w:eastAsia="仿宋_GB2312" w:cs="仿宋_GB2312"/>
                <w:b/>
                <w:kern w:val="0"/>
                <w:sz w:val="22"/>
                <w:szCs w:val="22"/>
                <w:lang w:val="en-US" w:eastAsia="zh-CN" w:bidi="ar"/>
              </w:rPr>
              <w:t>691</w:t>
            </w:r>
          </w:p>
        </w:tc>
        <w:tc>
          <w:tcPr>
            <w:tcW w:w="831" w:type="dxa"/>
            <w:tcBorders>
              <w:top w:val="single" w:color="000000" w:sz="4" w:space="0"/>
              <w:left w:val="single" w:color="000000" w:sz="4" w:space="0"/>
              <w:bottom w:val="single" w:color="000000" w:sz="4" w:space="0"/>
              <w:right w:val="single" w:color="000000" w:sz="4" w:space="0"/>
            </w:tcBorders>
            <w:shd w:val="clear" w:color="auto" w:fill="D7D7D7"/>
            <w:vAlign w:val="bottom"/>
          </w:tcPr>
          <w:p>
            <w:pPr>
              <w:widowControl/>
              <w:jc w:val="center"/>
              <w:textAlignment w:val="bottom"/>
              <w:rPr>
                <w:rFonts w:ascii="仿宋_GB2312" w:hAnsi="宋体" w:eastAsia="仿宋_GB2312" w:cs="仿宋_GB2312"/>
                <w:b/>
                <w:bCs/>
                <w:sz w:val="22"/>
                <w:szCs w:val="22"/>
                <w:shd w:val="clear" w:color="FFFFFF" w:fill="D9D9D9"/>
              </w:rPr>
            </w:pPr>
            <w:r>
              <w:rPr>
                <w:rFonts w:hint="eastAsia" w:ascii="仿宋_GB2312" w:hAnsi="宋体" w:eastAsia="仿宋_GB2312" w:cs="仿宋_GB2312"/>
                <w:kern w:val="0"/>
                <w:sz w:val="22"/>
                <w:szCs w:val="22"/>
                <w:lang w:val="en-US" w:eastAsia="zh-CN" w:bidi="ar"/>
              </w:rPr>
              <w:t>44</w:t>
            </w:r>
            <w:r>
              <w:rPr>
                <w:rFonts w:hint="eastAsia" w:ascii="仿宋_GB2312" w:hAnsi="宋体" w:eastAsia="仿宋_GB2312" w:cs="仿宋_GB2312"/>
                <w:kern w:val="0"/>
                <w:sz w:val="22"/>
                <w:szCs w:val="22"/>
                <w:lang w:bidi="ar"/>
              </w:rPr>
              <w:t>%</w:t>
            </w:r>
          </w:p>
        </w:tc>
        <w:tc>
          <w:tcPr>
            <w:tcW w:w="1418"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lang w:bidi="ar"/>
              </w:rPr>
              <w:t>总支出运用</w:t>
            </w:r>
          </w:p>
        </w:tc>
        <w:tc>
          <w:tcPr>
            <w:tcW w:w="99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395,481</w:t>
            </w:r>
          </w:p>
        </w:tc>
        <w:tc>
          <w:tcPr>
            <w:tcW w:w="992"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bCs/>
                <w:sz w:val="22"/>
                <w:szCs w:val="22"/>
                <w:shd w:val="clear" w:color="FFFFFF" w:fill="D9D9D9"/>
              </w:rPr>
            </w:pPr>
            <w:r>
              <w:rPr>
                <w:rFonts w:hint="eastAsia" w:ascii="仿宋_GB2312" w:hAnsi="宋体" w:eastAsia="仿宋_GB2312" w:cs="仿宋_GB2312"/>
                <w:b/>
                <w:kern w:val="0"/>
                <w:sz w:val="22"/>
                <w:szCs w:val="22"/>
                <w:lang w:bidi="ar"/>
              </w:rPr>
              <w:t>5</w:t>
            </w:r>
            <w:r>
              <w:rPr>
                <w:rFonts w:hint="eastAsia" w:ascii="仿宋_GB2312" w:hAnsi="宋体" w:eastAsia="仿宋_GB2312" w:cs="仿宋_GB2312"/>
                <w:b/>
                <w:kern w:val="0"/>
                <w:sz w:val="22"/>
                <w:szCs w:val="22"/>
                <w:lang w:val="en-US" w:eastAsia="zh-CN" w:bidi="ar"/>
              </w:rPr>
              <w:t>68</w:t>
            </w:r>
            <w:r>
              <w:rPr>
                <w:rFonts w:hint="eastAsia" w:ascii="仿宋_GB2312" w:hAnsi="宋体" w:eastAsia="仿宋_GB2312" w:cs="仿宋_GB2312"/>
                <w:b/>
                <w:kern w:val="0"/>
                <w:sz w:val="22"/>
                <w:szCs w:val="22"/>
                <w:lang w:bidi="ar"/>
              </w:rPr>
              <w:t>,</w:t>
            </w:r>
            <w:r>
              <w:rPr>
                <w:rFonts w:hint="eastAsia" w:ascii="仿宋_GB2312" w:hAnsi="宋体" w:eastAsia="仿宋_GB2312" w:cs="仿宋_GB2312"/>
                <w:b/>
                <w:kern w:val="0"/>
                <w:sz w:val="22"/>
                <w:szCs w:val="22"/>
                <w:lang w:val="en-US" w:eastAsia="zh-CN" w:bidi="ar"/>
              </w:rPr>
              <w:t>691</w:t>
            </w:r>
          </w:p>
        </w:tc>
        <w:tc>
          <w:tcPr>
            <w:tcW w:w="851" w:type="dxa"/>
            <w:tcBorders>
              <w:top w:val="single" w:color="000000" w:sz="4" w:space="0"/>
              <w:left w:val="single" w:color="000000" w:sz="4" w:space="0"/>
              <w:bottom w:val="single" w:color="000000" w:sz="4" w:space="0"/>
              <w:right w:val="single" w:color="000000" w:sz="4" w:space="0"/>
            </w:tcBorders>
            <w:shd w:val="clear" w:color="auto" w:fill="D7D7D7"/>
            <w:vAlign w:val="bottom"/>
          </w:tcPr>
          <w:p>
            <w:pPr>
              <w:widowControl/>
              <w:jc w:val="center"/>
              <w:textAlignment w:val="bottom"/>
              <w:rPr>
                <w:rFonts w:ascii="仿宋_GB2312" w:hAnsi="宋体" w:eastAsia="仿宋_GB2312" w:cs="仿宋_GB2312"/>
                <w:b/>
                <w:bCs/>
                <w:sz w:val="22"/>
                <w:szCs w:val="22"/>
                <w:shd w:val="clear" w:color="FFFFFF" w:fill="D9D9D9"/>
              </w:rPr>
            </w:pPr>
            <w:r>
              <w:rPr>
                <w:rFonts w:hint="eastAsia" w:ascii="仿宋_GB2312" w:hAnsi="宋体" w:eastAsia="仿宋_GB2312" w:cs="仿宋_GB2312"/>
                <w:kern w:val="0"/>
                <w:sz w:val="22"/>
                <w:szCs w:val="22"/>
                <w:lang w:val="en-US" w:eastAsia="zh-CN" w:bidi="ar"/>
              </w:rPr>
              <w:t>44</w:t>
            </w:r>
            <w:r>
              <w:rPr>
                <w:rFonts w:hint="eastAsia" w:ascii="仿宋_GB2312" w:hAnsi="宋体" w:eastAsia="仿宋_GB2312" w:cs="仿宋_GB2312"/>
                <w:kern w:val="0"/>
                <w:sz w:val="22"/>
                <w:szCs w:val="22"/>
                <w:lang w:bidi="ar"/>
              </w:rPr>
              <w:t>%</w:t>
            </w:r>
          </w:p>
        </w:tc>
      </w:tr>
    </w:tbl>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640" w:firstLineChars="200"/>
        <w:jc w:val="left"/>
        <w:textAlignment w:val="auto"/>
        <w:rPr>
          <w:rFonts w:hint="eastAsia" w:ascii="黑体" w:hAnsi="宋体" w:eastAsia="黑体" w:cs="宋体"/>
          <w:b/>
          <w:bCs/>
          <w:color w:val="auto"/>
          <w:kern w:val="0"/>
          <w:sz w:val="32"/>
          <w:szCs w:val="32"/>
          <w:shd w:val="clear" w:color="FFFFFF" w:fill="D9D9D9"/>
          <w:lang w:val="en-US" w:eastAsia="zh-CN"/>
        </w:rPr>
      </w:pPr>
      <w:r>
        <w:rPr>
          <w:rFonts w:hint="eastAsia" w:ascii="仿宋_GB2312" w:hAnsi="仿宋_GB2312" w:eastAsia="仿宋_GB2312" w:cs="仿宋_GB2312"/>
          <w:b w:val="0"/>
          <w:bCs w:val="0"/>
          <w:color w:val="auto"/>
          <w:kern w:val="0"/>
          <w:sz w:val="32"/>
          <w:szCs w:val="32"/>
          <w:shd w:val="clear" w:color="auto" w:fill="auto"/>
          <w:lang w:val="en-US" w:eastAsia="zh-CN"/>
        </w:rPr>
        <w:t>2017年宁东基地“三公经费”支出146.53万元，同比下降31.17%。</w:t>
      </w:r>
    </w:p>
    <w:p>
      <w:pPr>
        <w:spacing w:line="560" w:lineRule="exact"/>
        <w:ind w:firstLine="643" w:firstLineChars="200"/>
        <w:rPr>
          <w:rFonts w:ascii="黑体" w:hAnsi="宋体" w:eastAsia="黑体" w:cs="宋体"/>
          <w:b/>
          <w:bCs/>
          <w:kern w:val="0"/>
          <w:sz w:val="32"/>
          <w:szCs w:val="32"/>
        </w:rPr>
      </w:pPr>
      <w:r>
        <w:rPr>
          <w:rFonts w:hint="eastAsia" w:ascii="黑体" w:hAnsi="宋体" w:eastAsia="黑体" w:cs="宋体"/>
          <w:b/>
          <w:bCs/>
          <w:kern w:val="0"/>
          <w:sz w:val="32"/>
          <w:szCs w:val="32"/>
        </w:rPr>
        <w:t>二、2018年财政预算安排意见</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编制2018年财政预算（草案）的总体思路是</w:t>
      </w:r>
      <w:r>
        <w:rPr>
          <w:rFonts w:hint="eastAsia" w:ascii="仿宋_GB2312" w:hAnsi="宋体" w:eastAsia="仿宋_GB2312" w:cs="宋体"/>
          <w:kern w:val="0"/>
          <w:sz w:val="32"/>
          <w:szCs w:val="32"/>
        </w:rPr>
        <w:t>：</w:t>
      </w:r>
      <w:r>
        <w:rPr>
          <w:rFonts w:hint="eastAsia" w:ascii="仿宋_GB2312" w:hAnsi="宋体" w:eastAsia="仿宋_GB2312" w:cs="宋体"/>
          <w:b/>
          <w:bCs/>
          <w:kern w:val="0"/>
          <w:sz w:val="32"/>
          <w:szCs w:val="32"/>
        </w:rPr>
        <w:t>深入贯彻党的十九大、自治区第十二次党代会及十二届三次全会精神，按照“12111”发展战略，认真落实积极财政政策，在保障基本运转的基础上，优化支出结构，着力保障与改善民生，加大对创新驱动和宁东企业扶持力度、大力打造低成本化园区、推动基地经济转型升级；进一步深化财税体制改革，健全政府预算体系；强化预算执行和监督，从严管控行政成本，严肃财经纪律，提升财政资金使用效益，加强地方政府性债务管理，切实防范财政风险；不忘初心、牢记使命，为加快宁东建设和发展提供保障。</w:t>
      </w:r>
    </w:p>
    <w:p>
      <w:pPr>
        <w:spacing w:line="560" w:lineRule="exact"/>
        <w:ind w:left="420" w:left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（一）2018年财政可用财力</w:t>
      </w:r>
    </w:p>
    <w:p>
      <w:pPr>
        <w:widowControl/>
        <w:shd w:val="clear" w:color="auto" w:fill="FFFFFF"/>
        <w:spacing w:line="560" w:lineRule="exact"/>
        <w:ind w:firstLine="643" w:firstLineChars="200"/>
        <w:jc w:val="left"/>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1.一般公共预算收入</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在分析2017年宁东基地实现收入的基础上，综合分析2018年国际国内经济运行中存在的一些不确定因素及宁东基地稳增长、调结构、促改革等政策要求，本着积极稳妥的原则，将2018年宁东基地一般公共预算收入增长目标确定为12%。各级次税收收入增长预计情况如下表：</w:t>
      </w:r>
    </w:p>
    <w:p>
      <w:pPr>
        <w:widowControl/>
        <w:shd w:val="clear" w:color="auto" w:fill="FFFFFF"/>
        <w:spacing w:line="560" w:lineRule="exact"/>
        <w:ind w:firstLine="1440" w:firstLineChars="450"/>
        <w:rPr>
          <w:rFonts w:ascii="仿宋_GB2312" w:hAnsi="宋体" w:eastAsia="仿宋_GB2312" w:cs="宋体"/>
          <w:kern w:val="0"/>
          <w:sz w:val="32"/>
          <w:szCs w:val="32"/>
        </w:rPr>
      </w:pPr>
      <w:r>
        <w:rPr>
          <w:rFonts w:hint="eastAsia" w:ascii="仿宋_GB2312" w:hAnsi="宋体" w:eastAsia="仿宋_GB2312" w:cs="宋体"/>
          <w:kern w:val="0"/>
          <w:sz w:val="32"/>
          <w:szCs w:val="32"/>
        </w:rPr>
        <w:t>2018年宁东基地全口径税收收入预计表</w:t>
      </w:r>
    </w:p>
    <w:p>
      <w:pPr>
        <w:widowControl/>
        <w:shd w:val="clear" w:color="auto" w:fill="FFFFFF"/>
        <w:spacing w:line="240" w:lineRule="exact"/>
        <w:jc w:val="left"/>
        <w:rPr>
          <w:rFonts w:ascii="仿宋_GB2312" w:hAnsi="宋体" w:eastAsia="仿宋_GB2312" w:cs="宋体"/>
          <w:kern w:val="0"/>
          <w:sz w:val="20"/>
          <w:szCs w:val="20"/>
        </w:rPr>
      </w:pPr>
      <w:r>
        <w:rPr>
          <w:rFonts w:hint="eastAsia" w:ascii="仿宋_GB2312" w:hAnsi="宋体" w:eastAsia="仿宋_GB2312" w:cs="宋体"/>
          <w:kern w:val="0"/>
          <w:sz w:val="18"/>
          <w:szCs w:val="18"/>
        </w:rPr>
        <w:t xml:space="preserve">                </w:t>
      </w:r>
      <w:r>
        <w:rPr>
          <w:rFonts w:hint="eastAsia" w:ascii="仿宋_GB2312" w:hAnsi="宋体" w:eastAsia="仿宋_GB2312" w:cs="宋体"/>
          <w:kern w:val="0"/>
          <w:sz w:val="24"/>
        </w:rPr>
        <w:t>表三                                 单位：万元</w:t>
      </w:r>
    </w:p>
    <w:tbl>
      <w:tblPr>
        <w:tblStyle w:val="8"/>
        <w:tblpPr w:leftFromText="180" w:rightFromText="180" w:vertAnchor="text" w:horzAnchor="margin" w:tblpXSpec="center" w:tblpY="62"/>
        <w:tblOverlap w:val="never"/>
        <w:tblW w:w="8520" w:type="dxa"/>
        <w:tblInd w:w="0" w:type="dxa"/>
        <w:tblLayout w:type="fixed"/>
        <w:tblCellMar>
          <w:top w:w="15" w:type="dxa"/>
          <w:left w:w="15" w:type="dxa"/>
          <w:bottom w:w="15" w:type="dxa"/>
          <w:right w:w="15" w:type="dxa"/>
        </w:tblCellMar>
      </w:tblPr>
      <w:tblGrid>
        <w:gridCol w:w="2998"/>
        <w:gridCol w:w="1957"/>
        <w:gridCol w:w="1957"/>
        <w:gridCol w:w="1608"/>
      </w:tblGrid>
      <w:tr>
        <w:tblPrEx>
          <w:tblLayout w:type="fixed"/>
          <w:tblCellMar>
            <w:top w:w="15" w:type="dxa"/>
            <w:left w:w="15" w:type="dxa"/>
            <w:bottom w:w="15" w:type="dxa"/>
            <w:right w:w="15" w:type="dxa"/>
          </w:tblCellMar>
        </w:tblPrEx>
        <w:trPr>
          <w:trHeight w:val="90" w:hRule="atLeast"/>
        </w:trPr>
        <w:tc>
          <w:tcPr>
            <w:tcW w:w="2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级 次</w:t>
            </w:r>
          </w:p>
        </w:tc>
        <w:tc>
          <w:tcPr>
            <w:tcW w:w="1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2017年</w:t>
            </w:r>
          </w:p>
        </w:tc>
        <w:tc>
          <w:tcPr>
            <w:tcW w:w="1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2018年</w:t>
            </w:r>
          </w:p>
        </w:tc>
        <w:tc>
          <w:tcPr>
            <w:tcW w:w="1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增长率</w:t>
            </w:r>
          </w:p>
        </w:tc>
      </w:tr>
      <w:tr>
        <w:tblPrEx>
          <w:tblLayout w:type="fixed"/>
          <w:tblCellMar>
            <w:top w:w="15" w:type="dxa"/>
            <w:left w:w="15" w:type="dxa"/>
            <w:bottom w:w="15" w:type="dxa"/>
            <w:right w:w="15" w:type="dxa"/>
          </w:tblCellMar>
        </w:tblPrEx>
        <w:trPr>
          <w:trHeight w:val="90" w:hRule="atLeast"/>
        </w:trPr>
        <w:tc>
          <w:tcPr>
            <w:tcW w:w="2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中央级</w:t>
            </w:r>
          </w:p>
        </w:tc>
        <w:tc>
          <w:tcPr>
            <w:tcW w:w="1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325,739</w:t>
            </w:r>
          </w:p>
        </w:tc>
        <w:tc>
          <w:tcPr>
            <w:tcW w:w="1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362,827</w:t>
            </w:r>
          </w:p>
        </w:tc>
        <w:tc>
          <w:tcPr>
            <w:tcW w:w="16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12%</w:t>
            </w:r>
          </w:p>
        </w:tc>
      </w:tr>
      <w:tr>
        <w:tblPrEx>
          <w:tblLayout w:type="fixed"/>
          <w:tblCellMar>
            <w:top w:w="15" w:type="dxa"/>
            <w:left w:w="15" w:type="dxa"/>
            <w:bottom w:w="15" w:type="dxa"/>
            <w:right w:w="15" w:type="dxa"/>
          </w:tblCellMar>
        </w:tblPrEx>
        <w:trPr>
          <w:trHeight w:val="90" w:hRule="atLeast"/>
        </w:trPr>
        <w:tc>
          <w:tcPr>
            <w:tcW w:w="2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自治区级</w:t>
            </w:r>
          </w:p>
        </w:tc>
        <w:tc>
          <w:tcPr>
            <w:tcW w:w="1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191,308</w:t>
            </w:r>
          </w:p>
        </w:tc>
        <w:tc>
          <w:tcPr>
            <w:tcW w:w="1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212,512</w:t>
            </w:r>
          </w:p>
        </w:tc>
        <w:tc>
          <w:tcPr>
            <w:tcW w:w="16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2"/>
                <w:szCs w:val="22"/>
              </w:rPr>
            </w:pPr>
          </w:p>
        </w:tc>
      </w:tr>
      <w:tr>
        <w:tblPrEx>
          <w:tblLayout w:type="fixed"/>
          <w:tblCellMar>
            <w:top w:w="15" w:type="dxa"/>
            <w:left w:w="15" w:type="dxa"/>
            <w:bottom w:w="15" w:type="dxa"/>
            <w:right w:w="15" w:type="dxa"/>
          </w:tblCellMar>
        </w:tblPrEx>
        <w:trPr>
          <w:trHeight w:val="90" w:hRule="atLeast"/>
        </w:trPr>
        <w:tc>
          <w:tcPr>
            <w:tcW w:w="2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管委会</w:t>
            </w:r>
          </w:p>
        </w:tc>
        <w:tc>
          <w:tcPr>
            <w:tcW w:w="1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190,214</w:t>
            </w:r>
          </w:p>
        </w:tc>
        <w:tc>
          <w:tcPr>
            <w:tcW w:w="19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2"/>
                <w:szCs w:val="22"/>
              </w:rPr>
            </w:pPr>
            <w:r>
              <w:rPr>
                <w:rFonts w:hint="eastAsia" w:ascii="仿宋_GB2312" w:hAnsi="宋体" w:eastAsia="仿宋_GB2312" w:cs="仿宋_GB2312"/>
                <w:kern w:val="0"/>
                <w:sz w:val="22"/>
                <w:szCs w:val="22"/>
                <w:lang w:bidi="ar"/>
              </w:rPr>
              <w:t>216,793</w:t>
            </w:r>
          </w:p>
        </w:tc>
        <w:tc>
          <w:tcPr>
            <w:tcW w:w="16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2"/>
                <w:szCs w:val="22"/>
              </w:rPr>
            </w:pPr>
          </w:p>
        </w:tc>
      </w:tr>
      <w:tr>
        <w:tblPrEx>
          <w:tblLayout w:type="fixed"/>
          <w:tblCellMar>
            <w:top w:w="15" w:type="dxa"/>
            <w:left w:w="15" w:type="dxa"/>
            <w:bottom w:w="15" w:type="dxa"/>
            <w:right w:w="15" w:type="dxa"/>
          </w:tblCellMar>
        </w:tblPrEx>
        <w:trPr>
          <w:trHeight w:val="90" w:hRule="atLeast"/>
        </w:trPr>
        <w:tc>
          <w:tcPr>
            <w:tcW w:w="2998" w:type="dxa"/>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jc w:val="center"/>
              <w:textAlignment w:val="center"/>
              <w:rPr>
                <w:rFonts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税收收入合计</w:t>
            </w:r>
          </w:p>
        </w:tc>
        <w:tc>
          <w:tcPr>
            <w:tcW w:w="1957" w:type="dxa"/>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jc w:val="center"/>
              <w:textAlignment w:val="center"/>
              <w:rPr>
                <w:rFonts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707,261</w:t>
            </w:r>
          </w:p>
        </w:tc>
        <w:tc>
          <w:tcPr>
            <w:tcW w:w="1957" w:type="dxa"/>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jc w:val="center"/>
              <w:textAlignment w:val="center"/>
              <w:rPr>
                <w:rFonts w:ascii="仿宋_GB2312" w:hAnsi="宋体" w:eastAsia="仿宋_GB2312" w:cs="仿宋_GB2312"/>
                <w:b/>
                <w:bCs/>
                <w:sz w:val="22"/>
                <w:szCs w:val="22"/>
              </w:rPr>
            </w:pPr>
            <w:r>
              <w:rPr>
                <w:rFonts w:hint="eastAsia" w:ascii="仿宋_GB2312" w:hAnsi="宋体" w:eastAsia="仿宋_GB2312" w:cs="仿宋_GB2312"/>
                <w:b/>
                <w:bCs/>
                <w:kern w:val="0"/>
                <w:sz w:val="22"/>
                <w:szCs w:val="22"/>
                <w:lang w:bidi="ar"/>
              </w:rPr>
              <w:t>792,132</w:t>
            </w:r>
          </w:p>
        </w:tc>
        <w:tc>
          <w:tcPr>
            <w:tcW w:w="16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sz w:val="22"/>
                <w:szCs w:val="22"/>
              </w:rPr>
            </w:pPr>
          </w:p>
        </w:tc>
      </w:tr>
    </w:tbl>
    <w:p>
      <w:pPr>
        <w:widowControl/>
        <w:shd w:val="clear" w:color="auto" w:fill="FFFFFF"/>
        <w:spacing w:line="56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2018年管委会拟安排一般预算收入236,907万元，较2017年增长12%，其中：税收收入216,793万元，增长14%；非税收入20,114万元，因2018年开始排污费收入改为征收环保税，较上年降低6%</w:t>
      </w:r>
      <w:r>
        <w:rPr>
          <w:rFonts w:hint="eastAsia" w:ascii="仿宋_GB2312" w:eastAsia="仿宋_GB2312"/>
          <w:sz w:val="32"/>
          <w:szCs w:val="32"/>
          <w:shd w:val="clear" w:color="auto" w:fill="FFFFFF"/>
        </w:rPr>
        <w:t>。</w:t>
      </w:r>
    </w:p>
    <w:p>
      <w:pPr>
        <w:widowControl/>
        <w:shd w:val="clear" w:color="auto" w:fill="FFFFFF"/>
        <w:spacing w:line="56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2018年宁东基地一般公共预算收入预计表</w:t>
      </w:r>
    </w:p>
    <w:p>
      <w:pPr>
        <w:widowControl/>
        <w:shd w:val="clear" w:color="auto" w:fill="FFFFFF"/>
        <w:spacing w:line="240" w:lineRule="exact"/>
        <w:jc w:val="left"/>
        <w:rPr>
          <w:rFonts w:ascii="仿宋_GB2312" w:hAnsi="宋体" w:eastAsia="仿宋_GB2312" w:cs="宋体"/>
          <w:kern w:val="0"/>
          <w:sz w:val="24"/>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24"/>
        </w:rPr>
        <w:t xml:space="preserve">表四                 </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单位：万元</w:t>
      </w:r>
    </w:p>
    <w:tbl>
      <w:tblPr>
        <w:tblStyle w:val="8"/>
        <w:tblW w:w="8363" w:type="dxa"/>
        <w:tblInd w:w="250" w:type="dxa"/>
        <w:tblLayout w:type="fixed"/>
        <w:tblCellMar>
          <w:top w:w="0" w:type="dxa"/>
          <w:left w:w="108" w:type="dxa"/>
          <w:bottom w:w="0" w:type="dxa"/>
          <w:right w:w="108" w:type="dxa"/>
        </w:tblCellMar>
      </w:tblPr>
      <w:tblGrid>
        <w:gridCol w:w="1843"/>
        <w:gridCol w:w="2840"/>
        <w:gridCol w:w="1271"/>
        <w:gridCol w:w="1275"/>
        <w:gridCol w:w="1134"/>
      </w:tblGrid>
      <w:tr>
        <w:tblPrEx>
          <w:tblLayout w:type="fixed"/>
          <w:tblCellMar>
            <w:top w:w="0" w:type="dxa"/>
            <w:left w:w="108" w:type="dxa"/>
            <w:bottom w:w="0" w:type="dxa"/>
            <w:right w:w="108" w:type="dxa"/>
          </w:tblCellMar>
        </w:tblPrEx>
        <w:trPr>
          <w:trHeight w:val="361" w:hRule="atLeast"/>
        </w:trPr>
        <w:tc>
          <w:tcPr>
            <w:tcW w:w="184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color w:val="FF0000"/>
                <w:kern w:val="0"/>
                <w:szCs w:val="21"/>
              </w:rPr>
              <w:t xml:space="preserve">                                                                 </w:t>
            </w:r>
            <w:r>
              <w:rPr>
                <w:rFonts w:hint="eastAsia" w:ascii="仿宋_GB2312" w:hAnsi="宋体" w:eastAsia="仿宋_GB2312" w:cs="宋体"/>
                <w:kern w:val="0"/>
                <w:sz w:val="22"/>
                <w:szCs w:val="22"/>
              </w:rPr>
              <w:t>类 别</w:t>
            </w:r>
          </w:p>
        </w:tc>
        <w:tc>
          <w:tcPr>
            <w:tcW w:w="2840" w:type="dxa"/>
            <w:tcBorders>
              <w:top w:val="single" w:color="000000" w:sz="8" w:space="0"/>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271" w:type="dxa"/>
            <w:tcBorders>
              <w:top w:val="single" w:color="000000" w:sz="8" w:space="0"/>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2017年</w:t>
            </w:r>
          </w:p>
        </w:tc>
        <w:tc>
          <w:tcPr>
            <w:tcW w:w="1275" w:type="dxa"/>
            <w:tcBorders>
              <w:top w:val="single" w:color="000000" w:sz="8" w:space="0"/>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2018年</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增长率</w:t>
            </w:r>
          </w:p>
        </w:tc>
      </w:tr>
      <w:tr>
        <w:tblPrEx>
          <w:tblLayout w:type="fixed"/>
          <w:tblCellMar>
            <w:top w:w="0" w:type="dxa"/>
            <w:left w:w="108" w:type="dxa"/>
            <w:bottom w:w="0" w:type="dxa"/>
            <w:right w:w="108" w:type="dxa"/>
          </w:tblCellMar>
        </w:tblPrEx>
        <w:trPr>
          <w:trHeight w:val="360" w:hRule="atLeast"/>
        </w:trPr>
        <w:tc>
          <w:tcPr>
            <w:tcW w:w="1843" w:type="dxa"/>
            <w:vMerge w:val="restart"/>
            <w:tcBorders>
              <w:top w:val="nil"/>
              <w:left w:val="single" w:color="000000" w:sz="8" w:space="0"/>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一、税收收入</w:t>
            </w: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增值税(含营业税)</w:t>
            </w:r>
          </w:p>
        </w:tc>
        <w:tc>
          <w:tcPr>
            <w:tcW w:w="1271"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127672</w:t>
            </w:r>
          </w:p>
        </w:tc>
        <w:tc>
          <w:tcPr>
            <w:tcW w:w="1275"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141897</w:t>
            </w:r>
          </w:p>
        </w:tc>
        <w:tc>
          <w:tcPr>
            <w:tcW w:w="1134"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11%</w:t>
            </w:r>
          </w:p>
        </w:tc>
      </w:tr>
      <w:tr>
        <w:tblPrEx>
          <w:tblLayout w:type="fixed"/>
          <w:tblCellMar>
            <w:top w:w="0" w:type="dxa"/>
            <w:left w:w="108" w:type="dxa"/>
            <w:bottom w:w="0" w:type="dxa"/>
            <w:right w:w="108" w:type="dxa"/>
          </w:tblCellMar>
        </w:tblPrEx>
        <w:trPr>
          <w:trHeight w:val="360"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企业所得税</w:t>
            </w:r>
          </w:p>
        </w:tc>
        <w:tc>
          <w:tcPr>
            <w:tcW w:w="1271"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5047</w:t>
            </w:r>
          </w:p>
        </w:tc>
        <w:tc>
          <w:tcPr>
            <w:tcW w:w="1275"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6400</w:t>
            </w:r>
          </w:p>
        </w:tc>
        <w:tc>
          <w:tcPr>
            <w:tcW w:w="1134"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27%</w:t>
            </w:r>
          </w:p>
        </w:tc>
      </w:tr>
      <w:tr>
        <w:tblPrEx>
          <w:tblLayout w:type="fixed"/>
          <w:tblCellMar>
            <w:top w:w="0" w:type="dxa"/>
            <w:left w:w="108" w:type="dxa"/>
            <w:bottom w:w="0" w:type="dxa"/>
            <w:right w:w="108" w:type="dxa"/>
          </w:tblCellMar>
        </w:tblPrEx>
        <w:trPr>
          <w:trHeight w:val="360"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个人所得税</w:t>
            </w:r>
          </w:p>
        </w:tc>
        <w:tc>
          <w:tcPr>
            <w:tcW w:w="1271"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7120</w:t>
            </w:r>
          </w:p>
        </w:tc>
        <w:tc>
          <w:tcPr>
            <w:tcW w:w="1275"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7974</w:t>
            </w:r>
          </w:p>
        </w:tc>
        <w:tc>
          <w:tcPr>
            <w:tcW w:w="1134"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12%</w:t>
            </w:r>
          </w:p>
        </w:tc>
      </w:tr>
      <w:tr>
        <w:tblPrEx>
          <w:tblLayout w:type="fixed"/>
          <w:tblCellMar>
            <w:top w:w="0" w:type="dxa"/>
            <w:left w:w="108" w:type="dxa"/>
            <w:bottom w:w="0" w:type="dxa"/>
            <w:right w:w="108" w:type="dxa"/>
          </w:tblCellMar>
        </w:tblPrEx>
        <w:trPr>
          <w:trHeight w:val="360"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城市维护建设税</w:t>
            </w:r>
          </w:p>
        </w:tc>
        <w:tc>
          <w:tcPr>
            <w:tcW w:w="1271"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21501</w:t>
            </w:r>
          </w:p>
        </w:tc>
        <w:tc>
          <w:tcPr>
            <w:tcW w:w="1275"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24081</w:t>
            </w:r>
          </w:p>
        </w:tc>
        <w:tc>
          <w:tcPr>
            <w:tcW w:w="1134"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12%</w:t>
            </w:r>
          </w:p>
        </w:tc>
      </w:tr>
      <w:tr>
        <w:tblPrEx>
          <w:tblLayout w:type="fixed"/>
          <w:tblCellMar>
            <w:top w:w="0" w:type="dxa"/>
            <w:left w:w="108" w:type="dxa"/>
            <w:bottom w:w="0" w:type="dxa"/>
            <w:right w:w="108" w:type="dxa"/>
          </w:tblCellMar>
        </w:tblPrEx>
        <w:trPr>
          <w:trHeight w:val="360"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房产税</w:t>
            </w:r>
          </w:p>
        </w:tc>
        <w:tc>
          <w:tcPr>
            <w:tcW w:w="1271"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8512</w:t>
            </w:r>
          </w:p>
        </w:tc>
        <w:tc>
          <w:tcPr>
            <w:tcW w:w="1275"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9533</w:t>
            </w:r>
          </w:p>
        </w:tc>
        <w:tc>
          <w:tcPr>
            <w:tcW w:w="1134"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12%</w:t>
            </w:r>
          </w:p>
        </w:tc>
      </w:tr>
      <w:tr>
        <w:tblPrEx>
          <w:tblLayout w:type="fixed"/>
          <w:tblCellMar>
            <w:top w:w="0" w:type="dxa"/>
            <w:left w:w="108" w:type="dxa"/>
            <w:bottom w:w="0" w:type="dxa"/>
            <w:right w:w="108" w:type="dxa"/>
          </w:tblCellMar>
        </w:tblPrEx>
        <w:trPr>
          <w:trHeight w:val="360"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环保税</w:t>
            </w:r>
          </w:p>
        </w:tc>
        <w:tc>
          <w:tcPr>
            <w:tcW w:w="1271"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w:t>
            </w:r>
          </w:p>
        </w:tc>
        <w:tc>
          <w:tcPr>
            <w:tcW w:w="1275"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4000</w:t>
            </w:r>
          </w:p>
        </w:tc>
        <w:tc>
          <w:tcPr>
            <w:tcW w:w="1134"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Layout w:type="fixed"/>
          <w:tblCellMar>
            <w:top w:w="0" w:type="dxa"/>
            <w:left w:w="108" w:type="dxa"/>
            <w:bottom w:w="0" w:type="dxa"/>
            <w:right w:w="108" w:type="dxa"/>
          </w:tblCellMar>
        </w:tblPrEx>
        <w:trPr>
          <w:trHeight w:val="360"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其他税收收入</w:t>
            </w:r>
          </w:p>
        </w:tc>
        <w:tc>
          <w:tcPr>
            <w:tcW w:w="1271"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20363</w:t>
            </w:r>
          </w:p>
        </w:tc>
        <w:tc>
          <w:tcPr>
            <w:tcW w:w="1275"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22908</w:t>
            </w:r>
          </w:p>
        </w:tc>
        <w:tc>
          <w:tcPr>
            <w:tcW w:w="1134"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9%</w:t>
            </w:r>
          </w:p>
        </w:tc>
      </w:tr>
      <w:tr>
        <w:tblPrEx>
          <w:tblLayout w:type="fixed"/>
          <w:tblCellMar>
            <w:top w:w="0" w:type="dxa"/>
            <w:left w:w="108" w:type="dxa"/>
            <w:bottom w:w="0" w:type="dxa"/>
            <w:right w:w="108" w:type="dxa"/>
          </w:tblCellMar>
        </w:tblPrEx>
        <w:trPr>
          <w:trHeight w:val="360" w:hRule="atLeast"/>
        </w:trPr>
        <w:tc>
          <w:tcPr>
            <w:tcW w:w="184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shd w:val="clear" w:color="auto" w:fill="D7D7D7"/>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税收收入小计：</w:t>
            </w:r>
          </w:p>
        </w:tc>
        <w:tc>
          <w:tcPr>
            <w:tcW w:w="1271" w:type="dxa"/>
            <w:tcBorders>
              <w:top w:val="nil"/>
              <w:left w:val="nil"/>
              <w:bottom w:val="single" w:color="000000" w:sz="8" w:space="0"/>
              <w:right w:val="single" w:color="000000" w:sz="8" w:space="0"/>
            </w:tcBorders>
            <w:shd w:val="clear" w:color="auto" w:fill="D7D7D7"/>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190215</w:t>
            </w:r>
          </w:p>
        </w:tc>
        <w:tc>
          <w:tcPr>
            <w:tcW w:w="1275" w:type="dxa"/>
            <w:tcBorders>
              <w:top w:val="nil"/>
              <w:left w:val="nil"/>
              <w:bottom w:val="single" w:color="000000" w:sz="8" w:space="0"/>
              <w:right w:val="single" w:color="000000" w:sz="8" w:space="0"/>
            </w:tcBorders>
            <w:shd w:val="clear" w:color="auto" w:fill="D7D7D7"/>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216793</w:t>
            </w:r>
          </w:p>
        </w:tc>
        <w:tc>
          <w:tcPr>
            <w:tcW w:w="1134" w:type="dxa"/>
            <w:tcBorders>
              <w:top w:val="nil"/>
              <w:left w:val="nil"/>
              <w:bottom w:val="single" w:color="000000" w:sz="8" w:space="0"/>
              <w:right w:val="single" w:color="000000" w:sz="8" w:space="0"/>
            </w:tcBorders>
            <w:shd w:val="clear" w:color="auto" w:fill="D7D7D7"/>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14%</w:t>
            </w:r>
          </w:p>
        </w:tc>
      </w:tr>
      <w:tr>
        <w:tblPrEx>
          <w:tblLayout w:type="fixed"/>
          <w:tblCellMar>
            <w:top w:w="0" w:type="dxa"/>
            <w:left w:w="108" w:type="dxa"/>
            <w:bottom w:w="0" w:type="dxa"/>
            <w:right w:w="108" w:type="dxa"/>
          </w:tblCellMar>
        </w:tblPrEx>
        <w:trPr>
          <w:trHeight w:val="360" w:hRule="atLeast"/>
        </w:trPr>
        <w:tc>
          <w:tcPr>
            <w:tcW w:w="1843" w:type="dxa"/>
            <w:vMerge w:val="restart"/>
            <w:tcBorders>
              <w:top w:val="nil"/>
              <w:left w:val="single" w:color="000000" w:sz="8" w:space="0"/>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二、非税收入</w:t>
            </w: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教育附加费</w:t>
            </w:r>
          </w:p>
        </w:tc>
        <w:tc>
          <w:tcPr>
            <w:tcW w:w="1271"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10697</w:t>
            </w:r>
          </w:p>
        </w:tc>
        <w:tc>
          <w:tcPr>
            <w:tcW w:w="1275"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11981</w:t>
            </w:r>
          </w:p>
        </w:tc>
        <w:tc>
          <w:tcPr>
            <w:tcW w:w="1134"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12%</w:t>
            </w:r>
          </w:p>
        </w:tc>
      </w:tr>
      <w:tr>
        <w:tblPrEx>
          <w:tblLayout w:type="fixed"/>
          <w:tblCellMar>
            <w:top w:w="0" w:type="dxa"/>
            <w:left w:w="108" w:type="dxa"/>
            <w:bottom w:w="0" w:type="dxa"/>
            <w:right w:w="108" w:type="dxa"/>
          </w:tblCellMar>
        </w:tblPrEx>
        <w:trPr>
          <w:trHeight w:val="360"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其他非税收入</w:t>
            </w:r>
          </w:p>
        </w:tc>
        <w:tc>
          <w:tcPr>
            <w:tcW w:w="1271"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9655</w:t>
            </w:r>
          </w:p>
        </w:tc>
        <w:tc>
          <w:tcPr>
            <w:tcW w:w="1275"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8133</w:t>
            </w:r>
          </w:p>
        </w:tc>
        <w:tc>
          <w:tcPr>
            <w:tcW w:w="1134"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-16%</w:t>
            </w:r>
          </w:p>
        </w:tc>
      </w:tr>
      <w:tr>
        <w:tblPrEx>
          <w:tblLayout w:type="fixed"/>
          <w:tblCellMar>
            <w:top w:w="0" w:type="dxa"/>
            <w:left w:w="108" w:type="dxa"/>
            <w:bottom w:w="0" w:type="dxa"/>
            <w:right w:w="108" w:type="dxa"/>
          </w:tblCellMar>
        </w:tblPrEx>
        <w:trPr>
          <w:trHeight w:val="360" w:hRule="atLeast"/>
        </w:trPr>
        <w:tc>
          <w:tcPr>
            <w:tcW w:w="184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shd w:val="clear" w:color="auto" w:fill="D7D7D7"/>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非税收入小计：</w:t>
            </w:r>
          </w:p>
        </w:tc>
        <w:tc>
          <w:tcPr>
            <w:tcW w:w="1271" w:type="dxa"/>
            <w:tcBorders>
              <w:top w:val="nil"/>
              <w:left w:val="nil"/>
              <w:bottom w:val="single" w:color="000000" w:sz="8" w:space="0"/>
              <w:right w:val="single" w:color="000000" w:sz="8" w:space="0"/>
            </w:tcBorders>
            <w:shd w:val="clear" w:color="auto" w:fill="D7D7D7"/>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21308</w:t>
            </w:r>
          </w:p>
        </w:tc>
        <w:tc>
          <w:tcPr>
            <w:tcW w:w="1275" w:type="dxa"/>
            <w:tcBorders>
              <w:top w:val="nil"/>
              <w:left w:val="nil"/>
              <w:bottom w:val="single" w:color="000000" w:sz="8" w:space="0"/>
              <w:right w:val="single" w:color="000000" w:sz="8" w:space="0"/>
            </w:tcBorders>
            <w:shd w:val="clear" w:color="auto" w:fill="D7D7D7"/>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20114</w:t>
            </w:r>
          </w:p>
        </w:tc>
        <w:tc>
          <w:tcPr>
            <w:tcW w:w="1134" w:type="dxa"/>
            <w:tcBorders>
              <w:top w:val="nil"/>
              <w:left w:val="nil"/>
              <w:bottom w:val="single" w:color="000000" w:sz="8" w:space="0"/>
              <w:right w:val="single" w:color="000000" w:sz="8" w:space="0"/>
            </w:tcBorders>
            <w:shd w:val="clear" w:color="auto" w:fill="D7D7D7"/>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r>
      <w:tr>
        <w:tblPrEx>
          <w:tblLayout w:type="fixed"/>
          <w:tblCellMar>
            <w:top w:w="0" w:type="dxa"/>
            <w:left w:w="108" w:type="dxa"/>
            <w:bottom w:w="0" w:type="dxa"/>
            <w:right w:w="108" w:type="dxa"/>
          </w:tblCellMar>
        </w:tblPrEx>
        <w:trPr>
          <w:trHeight w:val="360" w:hRule="atLeast"/>
        </w:trPr>
        <w:tc>
          <w:tcPr>
            <w:tcW w:w="4683" w:type="dxa"/>
            <w:gridSpan w:val="2"/>
            <w:tcBorders>
              <w:top w:val="single" w:color="000000" w:sz="8" w:space="0"/>
              <w:left w:val="single" w:color="000000" w:sz="8" w:space="0"/>
              <w:bottom w:val="single" w:color="000000" w:sz="8" w:space="0"/>
              <w:right w:val="single" w:color="000000" w:sz="8" w:space="0"/>
            </w:tcBorders>
            <w:shd w:val="clear" w:color="auto" w:fill="BEBEBE"/>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公共预算收入合计：</w:t>
            </w:r>
          </w:p>
        </w:tc>
        <w:tc>
          <w:tcPr>
            <w:tcW w:w="1271" w:type="dxa"/>
            <w:tcBorders>
              <w:top w:val="nil"/>
              <w:left w:val="nil"/>
              <w:bottom w:val="single" w:color="000000" w:sz="8" w:space="0"/>
              <w:right w:val="single" w:color="000000" w:sz="8" w:space="0"/>
            </w:tcBorders>
            <w:shd w:val="clear" w:color="auto" w:fill="BEBEBE"/>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211523</w:t>
            </w:r>
          </w:p>
        </w:tc>
        <w:tc>
          <w:tcPr>
            <w:tcW w:w="1275" w:type="dxa"/>
            <w:tcBorders>
              <w:top w:val="nil"/>
              <w:left w:val="nil"/>
              <w:bottom w:val="single" w:color="000000" w:sz="8" w:space="0"/>
              <w:right w:val="single" w:color="000000" w:sz="8" w:space="0"/>
            </w:tcBorders>
            <w:shd w:val="clear" w:color="auto" w:fill="BEBEBE"/>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236907</w:t>
            </w:r>
          </w:p>
        </w:tc>
        <w:tc>
          <w:tcPr>
            <w:tcW w:w="1134" w:type="dxa"/>
            <w:tcBorders>
              <w:top w:val="nil"/>
              <w:left w:val="nil"/>
              <w:bottom w:val="single" w:color="000000" w:sz="8" w:space="0"/>
              <w:right w:val="single" w:color="000000" w:sz="8" w:space="0"/>
            </w:tcBorders>
            <w:shd w:val="clear" w:color="auto" w:fill="BEBEBE"/>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12%</w:t>
            </w:r>
          </w:p>
        </w:tc>
      </w:tr>
    </w:tbl>
    <w:p>
      <w:pPr>
        <w:pStyle w:val="2"/>
        <w:spacing w:line="640" w:lineRule="exact"/>
        <w:ind w:firstLine="643" w:firstLineChars="200"/>
        <w:rPr>
          <w:szCs w:val="32"/>
        </w:rPr>
      </w:pPr>
      <w:r>
        <w:rPr>
          <w:rFonts w:hint="eastAsia"/>
          <w:b/>
          <w:bCs/>
          <w:szCs w:val="32"/>
        </w:rPr>
        <w:t>2. 2018年财政可用财力</w:t>
      </w:r>
    </w:p>
    <w:p>
      <w:pPr>
        <w:pStyle w:val="2"/>
        <w:spacing w:line="640" w:lineRule="exact"/>
        <w:ind w:firstLine="640" w:firstLineChars="200"/>
        <w:rPr>
          <w:szCs w:val="32"/>
        </w:rPr>
      </w:pPr>
      <w:r>
        <w:rPr>
          <w:rFonts w:hint="eastAsia"/>
          <w:szCs w:val="32"/>
        </w:rPr>
        <w:t>（1）2018年新财税体制意见</w:t>
      </w:r>
    </w:p>
    <w:p>
      <w:pPr>
        <w:pStyle w:val="2"/>
        <w:spacing w:line="640" w:lineRule="exact"/>
        <w:ind w:firstLine="640" w:firstLineChars="200"/>
        <w:rPr>
          <w:szCs w:val="32"/>
        </w:rPr>
      </w:pPr>
      <w:r>
        <w:rPr>
          <w:rFonts w:hint="eastAsia"/>
          <w:szCs w:val="32"/>
        </w:rPr>
        <w:t>根据自治区财政厅《关于进一步完善宁东能源基地财税管理体制的实施方案》（征求意见稿），宁东基地财税体制主要内容为：</w:t>
      </w:r>
    </w:p>
    <w:p>
      <w:pPr>
        <w:pStyle w:val="2"/>
        <w:spacing w:line="640" w:lineRule="exact"/>
        <w:ind w:firstLine="640" w:firstLineChars="200"/>
        <w:rPr>
          <w:color w:val="auto"/>
          <w:szCs w:val="32"/>
        </w:rPr>
      </w:pPr>
      <w:r>
        <w:rPr>
          <w:rFonts w:hint="eastAsia"/>
          <w:color w:val="auto"/>
          <w:szCs w:val="32"/>
        </w:rPr>
        <w:t>一是根据2016年6月政府专题会议纪要要求,保持2011年宁东基地财税体制总体不变,保证宁东基地2015年既得利益。</w:t>
      </w:r>
    </w:p>
    <w:p>
      <w:pPr>
        <w:pStyle w:val="2"/>
        <w:spacing w:line="640" w:lineRule="exact"/>
        <w:ind w:firstLine="640" w:firstLineChars="200"/>
        <w:rPr>
          <w:color w:val="auto"/>
          <w:szCs w:val="32"/>
        </w:rPr>
      </w:pPr>
      <w:r>
        <w:rPr>
          <w:rFonts w:hint="eastAsia"/>
          <w:color w:val="auto"/>
          <w:szCs w:val="32"/>
        </w:rPr>
        <w:t>二是根据现有财税政策实行收入上解。继续实行2011年体制上解政策，即上解自治区财政6.3亿元；按照2016年营改增体制改革要求，管委会财政每年负担因增值税收入划转产生的上解基数为5.04亿元。</w:t>
      </w:r>
    </w:p>
    <w:p>
      <w:pPr>
        <w:pStyle w:val="2"/>
        <w:spacing w:line="640" w:lineRule="exact"/>
        <w:ind w:firstLine="640" w:firstLineChars="200"/>
        <w:rPr>
          <w:color w:val="auto"/>
          <w:szCs w:val="32"/>
        </w:rPr>
      </w:pPr>
      <w:r>
        <w:rPr>
          <w:rFonts w:hint="eastAsia"/>
          <w:color w:val="auto"/>
          <w:szCs w:val="32"/>
        </w:rPr>
        <w:t>三是实行定额补助政策。考虑到电力价格调节基金政策取消等影响，从2017年起，自治区财政每年定额补助宁东基地3亿元。</w:t>
      </w:r>
    </w:p>
    <w:p>
      <w:pPr>
        <w:pStyle w:val="2"/>
        <w:spacing w:line="640" w:lineRule="exact"/>
        <w:ind w:firstLine="640" w:firstLineChars="200"/>
        <w:rPr>
          <w:color w:val="FF0000"/>
          <w:szCs w:val="32"/>
        </w:rPr>
      </w:pPr>
      <w:r>
        <w:rPr>
          <w:rFonts w:hint="eastAsia"/>
          <w:color w:val="auto"/>
          <w:szCs w:val="32"/>
        </w:rPr>
        <w:t>四是实行自治区级收入增量返还政策。将资源税以外的自治区本级在宁东其他税收收入（含增值税收入），以2016年收入数为基数，实行增量返还，全部作为对宁东基地的财力性补助。</w:t>
      </w:r>
    </w:p>
    <w:p>
      <w:pPr>
        <w:pStyle w:val="2"/>
        <w:spacing w:line="640" w:lineRule="exact"/>
        <w:rPr>
          <w:szCs w:val="32"/>
        </w:rPr>
      </w:pPr>
      <w:r>
        <w:rPr>
          <w:rFonts w:hint="eastAsia"/>
          <w:szCs w:val="32"/>
        </w:rPr>
        <w:t>（2）一般公共预算可用财力</w:t>
      </w:r>
    </w:p>
    <w:p>
      <w:pPr>
        <w:pStyle w:val="2"/>
        <w:spacing w:line="640" w:lineRule="exact"/>
        <w:rPr>
          <w:szCs w:val="32"/>
        </w:rPr>
      </w:pPr>
      <w:r>
        <w:rPr>
          <w:rFonts w:hint="eastAsia"/>
          <w:szCs w:val="32"/>
        </w:rPr>
        <w:t>2018年管委会本级公共财政一般预算收入预计数236,907万元，结合自治区财政厅2017年宁东基地新财税体制初步意见，预计2018年一般公共预算可用财力215,553万元：本级可用财力为124,175万元，上级转移支付</w:t>
      </w:r>
      <w:r>
        <w:rPr>
          <w:rFonts w:hint="eastAsia"/>
          <w:szCs w:val="32"/>
          <w:lang w:val="en-US" w:eastAsia="zh-CN"/>
        </w:rPr>
        <w:t>78</w:t>
      </w:r>
      <w:r>
        <w:rPr>
          <w:rFonts w:hint="eastAsia"/>
          <w:szCs w:val="32"/>
        </w:rPr>
        <w:t>,</w:t>
      </w:r>
      <w:r>
        <w:rPr>
          <w:rFonts w:hint="eastAsia"/>
          <w:szCs w:val="32"/>
          <w:lang w:val="en-US" w:eastAsia="zh-CN"/>
        </w:rPr>
        <w:t>08</w:t>
      </w:r>
      <w:r>
        <w:rPr>
          <w:rFonts w:hint="eastAsia"/>
          <w:szCs w:val="32"/>
        </w:rPr>
        <w:t>4万元，</w:t>
      </w:r>
      <w:r>
        <w:rPr>
          <w:rFonts w:hint="eastAsia"/>
          <w:szCs w:val="32"/>
          <w:lang w:eastAsia="zh-CN"/>
        </w:rPr>
        <w:t>上年结余收入</w:t>
      </w:r>
      <w:r>
        <w:rPr>
          <w:rFonts w:hint="eastAsia"/>
          <w:szCs w:val="32"/>
          <w:lang w:val="en-US" w:eastAsia="zh-CN"/>
        </w:rPr>
        <w:t>13,294万元。</w:t>
      </w:r>
      <w:r>
        <w:rPr>
          <w:rFonts w:hint="eastAsia"/>
          <w:szCs w:val="32"/>
        </w:rPr>
        <w:t>见下表。</w:t>
      </w:r>
    </w:p>
    <w:p>
      <w:pPr>
        <w:pStyle w:val="2"/>
        <w:spacing w:line="560" w:lineRule="exact"/>
        <w:ind w:firstLine="0"/>
        <w:jc w:val="center"/>
        <w:rPr>
          <w:color w:val="000000"/>
          <w:szCs w:val="32"/>
        </w:rPr>
      </w:pPr>
      <w:r>
        <w:rPr>
          <w:rFonts w:hint="eastAsia"/>
          <w:color w:val="000000"/>
          <w:szCs w:val="32"/>
        </w:rPr>
        <w:t>2018年宁东基地一般预算可用财力预计表</w:t>
      </w:r>
    </w:p>
    <w:p>
      <w:pPr>
        <w:pStyle w:val="2"/>
        <w:spacing w:line="240" w:lineRule="exact"/>
        <w:ind w:firstLine="0"/>
        <w:jc w:val="both"/>
        <w:rPr>
          <w:color w:val="000000"/>
          <w:sz w:val="24"/>
        </w:rPr>
      </w:pPr>
      <w:r>
        <w:rPr>
          <w:rFonts w:hint="eastAsia"/>
          <w:color w:val="000000"/>
          <w:sz w:val="24"/>
        </w:rPr>
        <w:t xml:space="preserve">           表五                                         单位：万元</w:t>
      </w:r>
    </w:p>
    <w:tbl>
      <w:tblPr>
        <w:tblStyle w:val="8"/>
        <w:tblW w:w="8505" w:type="dxa"/>
        <w:tblInd w:w="250" w:type="dxa"/>
        <w:tblLayout w:type="fixed"/>
        <w:tblCellMar>
          <w:top w:w="0" w:type="dxa"/>
          <w:left w:w="108" w:type="dxa"/>
          <w:bottom w:w="0" w:type="dxa"/>
          <w:right w:w="108" w:type="dxa"/>
        </w:tblCellMar>
      </w:tblPr>
      <w:tblGrid>
        <w:gridCol w:w="2410"/>
        <w:gridCol w:w="4111"/>
        <w:gridCol w:w="1984"/>
      </w:tblGrid>
      <w:tr>
        <w:tblPrEx>
          <w:tblLayout w:type="fixed"/>
          <w:tblCellMar>
            <w:top w:w="0" w:type="dxa"/>
            <w:left w:w="108" w:type="dxa"/>
            <w:bottom w:w="0" w:type="dxa"/>
            <w:right w:w="108" w:type="dxa"/>
          </w:tblCellMar>
        </w:tblPrEx>
        <w:trPr>
          <w:trHeight w:val="463" w:hRule="atLeast"/>
        </w:trPr>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类 别</w:t>
            </w:r>
          </w:p>
        </w:tc>
        <w:tc>
          <w:tcPr>
            <w:tcW w:w="411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 目</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金 额</w:t>
            </w:r>
          </w:p>
        </w:tc>
      </w:tr>
      <w:tr>
        <w:tblPrEx>
          <w:tblLayout w:type="fixed"/>
          <w:tblCellMar>
            <w:top w:w="0" w:type="dxa"/>
            <w:left w:w="108" w:type="dxa"/>
            <w:bottom w:w="0" w:type="dxa"/>
            <w:right w:w="108" w:type="dxa"/>
          </w:tblCellMar>
        </w:tblPrEx>
        <w:trPr>
          <w:trHeight w:val="476" w:hRule="atLeast"/>
        </w:trPr>
        <w:tc>
          <w:tcPr>
            <w:tcW w:w="241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一、公共预算可用财力</w:t>
            </w: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2018年本级公共财政预算收入</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236,907</w:t>
            </w:r>
          </w:p>
        </w:tc>
      </w:tr>
      <w:tr>
        <w:tblPrEx>
          <w:tblLayout w:type="fixed"/>
          <w:tblCellMar>
            <w:top w:w="0" w:type="dxa"/>
            <w:left w:w="108" w:type="dxa"/>
            <w:bottom w:w="0" w:type="dxa"/>
            <w:right w:w="108" w:type="dxa"/>
          </w:tblCellMar>
        </w:tblPrEx>
        <w:trPr>
          <w:trHeight w:val="462" w:hRule="atLeast"/>
        </w:trPr>
        <w:tc>
          <w:tcPr>
            <w:tcW w:w="2410" w:type="dxa"/>
            <w:vMerge w:val="continue"/>
            <w:tcBorders>
              <w:left w:val="single" w:color="auto" w:sz="4" w:space="0"/>
              <w:bottom w:val="single" w:color="auto" w:sz="4" w:space="0"/>
              <w:right w:val="single" w:color="auto" w:sz="4" w:space="0"/>
            </w:tcBorders>
            <w:vAlign w:val="center"/>
          </w:tcPr>
          <w:p>
            <w:pPr>
              <w:widowControl/>
              <w:jc w:val="cente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减：2011年体制上解基数</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62,294</w:t>
            </w:r>
          </w:p>
        </w:tc>
      </w:tr>
      <w:tr>
        <w:tblPrEx>
          <w:tblLayout w:type="fixed"/>
          <w:tblCellMar>
            <w:top w:w="0" w:type="dxa"/>
            <w:left w:w="108" w:type="dxa"/>
            <w:bottom w:w="0" w:type="dxa"/>
            <w:right w:w="108" w:type="dxa"/>
          </w:tblCellMar>
        </w:tblPrEx>
        <w:trPr>
          <w:trHeight w:val="461" w:hRule="atLeast"/>
        </w:trPr>
        <w:tc>
          <w:tcPr>
            <w:tcW w:w="241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xml:space="preserve">  减：2018年增值税上解数据</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50,438</w:t>
            </w:r>
          </w:p>
        </w:tc>
      </w:tr>
      <w:tr>
        <w:tblPrEx>
          <w:tblLayout w:type="fixed"/>
          <w:tblCellMar>
            <w:top w:w="0" w:type="dxa"/>
            <w:left w:w="108" w:type="dxa"/>
            <w:bottom w:w="0" w:type="dxa"/>
            <w:right w:w="108" w:type="dxa"/>
          </w:tblCellMar>
        </w:tblPrEx>
        <w:trPr>
          <w:trHeight w:val="431" w:hRule="atLeast"/>
        </w:trPr>
        <w:tc>
          <w:tcPr>
            <w:tcW w:w="2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szCs w:val="22"/>
              </w:rPr>
            </w:pPr>
          </w:p>
        </w:tc>
        <w:tc>
          <w:tcPr>
            <w:tcW w:w="4111" w:type="dxa"/>
            <w:tcBorders>
              <w:top w:val="nil"/>
              <w:left w:val="nil"/>
              <w:bottom w:val="single" w:color="auto" w:sz="4" w:space="0"/>
              <w:right w:val="single" w:color="auto" w:sz="4" w:space="0"/>
            </w:tcBorders>
            <w:shd w:val="clear" w:color="auto" w:fill="D7D7D7"/>
            <w:vAlign w:val="center"/>
          </w:tcPr>
          <w:p>
            <w:pPr>
              <w:widowControl/>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本级一般预算可用财力小计：</w:t>
            </w:r>
          </w:p>
        </w:tc>
        <w:tc>
          <w:tcPr>
            <w:tcW w:w="1984" w:type="dxa"/>
            <w:tcBorders>
              <w:top w:val="nil"/>
              <w:left w:val="nil"/>
              <w:bottom w:val="single" w:color="auto" w:sz="4" w:space="0"/>
              <w:right w:val="single" w:color="auto" w:sz="4" w:space="0"/>
            </w:tcBorders>
            <w:shd w:val="clear" w:color="auto" w:fill="D7D7D7"/>
            <w:vAlign w:val="center"/>
          </w:tcPr>
          <w:p>
            <w:pPr>
              <w:widowControl/>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124,175</w:t>
            </w:r>
          </w:p>
        </w:tc>
      </w:tr>
      <w:tr>
        <w:tblPrEx>
          <w:tblLayout w:type="fixed"/>
          <w:tblCellMar>
            <w:top w:w="0" w:type="dxa"/>
            <w:left w:w="108" w:type="dxa"/>
            <w:bottom w:w="0" w:type="dxa"/>
            <w:right w:w="108" w:type="dxa"/>
          </w:tblCellMar>
        </w:tblPrEx>
        <w:trPr>
          <w:trHeight w:val="401" w:hRule="atLeast"/>
        </w:trPr>
        <w:tc>
          <w:tcPr>
            <w:tcW w:w="241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二、自治区财力性转移支付</w:t>
            </w: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均衡性转移支付</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5,381</w:t>
            </w:r>
          </w:p>
        </w:tc>
      </w:tr>
      <w:tr>
        <w:tblPrEx>
          <w:tblLayout w:type="fixed"/>
          <w:tblCellMar>
            <w:top w:w="0" w:type="dxa"/>
            <w:left w:w="108" w:type="dxa"/>
            <w:bottom w:w="0" w:type="dxa"/>
            <w:right w:w="108" w:type="dxa"/>
          </w:tblCellMar>
        </w:tblPrEx>
        <w:trPr>
          <w:trHeight w:val="386" w:hRule="atLeast"/>
        </w:trPr>
        <w:tc>
          <w:tcPr>
            <w:tcW w:w="241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资源税转移支付</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5,186</w:t>
            </w:r>
          </w:p>
        </w:tc>
      </w:tr>
      <w:tr>
        <w:tblPrEx>
          <w:tblLayout w:type="fixed"/>
          <w:tblCellMar>
            <w:top w:w="0" w:type="dxa"/>
            <w:left w:w="108" w:type="dxa"/>
            <w:bottom w:w="0" w:type="dxa"/>
            <w:right w:w="108" w:type="dxa"/>
          </w:tblCellMar>
        </w:tblPrEx>
        <w:trPr>
          <w:trHeight w:val="371" w:hRule="atLeast"/>
        </w:trPr>
        <w:tc>
          <w:tcPr>
            <w:tcW w:w="241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独立工矿区转移支付</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2,700</w:t>
            </w:r>
          </w:p>
        </w:tc>
      </w:tr>
      <w:tr>
        <w:tblPrEx>
          <w:tblLayout w:type="fixed"/>
          <w:tblCellMar>
            <w:top w:w="0" w:type="dxa"/>
            <w:left w:w="108" w:type="dxa"/>
            <w:bottom w:w="0" w:type="dxa"/>
            <w:right w:w="108" w:type="dxa"/>
          </w:tblCellMar>
        </w:tblPrEx>
        <w:trPr>
          <w:trHeight w:val="357" w:hRule="atLeast"/>
        </w:trPr>
        <w:tc>
          <w:tcPr>
            <w:tcW w:w="241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增量税收补助（测算）</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47</w:t>
            </w:r>
            <w:r>
              <w:rPr>
                <w:rFonts w:hint="eastAsia" w:ascii="仿宋_GB2312" w:hAnsi="仿宋_GB2312" w:eastAsia="仿宋_GB2312" w:cs="仿宋_GB2312"/>
                <w:kern w:val="0"/>
                <w:sz w:val="22"/>
                <w:szCs w:val="22"/>
              </w:rPr>
              <w:t>,</w:t>
            </w:r>
            <w:r>
              <w:rPr>
                <w:rFonts w:hint="eastAsia" w:ascii="仿宋_GB2312" w:hAnsi="仿宋_GB2312" w:eastAsia="仿宋_GB2312" w:cs="仿宋_GB2312"/>
                <w:kern w:val="0"/>
                <w:sz w:val="22"/>
                <w:szCs w:val="22"/>
                <w:lang w:val="en-US" w:eastAsia="zh-CN"/>
              </w:rPr>
              <w:t>558</w:t>
            </w:r>
          </w:p>
        </w:tc>
      </w:tr>
      <w:tr>
        <w:tblPrEx>
          <w:tblLayout w:type="fixed"/>
          <w:tblCellMar>
            <w:top w:w="0" w:type="dxa"/>
            <w:left w:w="108" w:type="dxa"/>
            <w:bottom w:w="0" w:type="dxa"/>
            <w:right w:w="108" w:type="dxa"/>
          </w:tblCellMar>
        </w:tblPrEx>
        <w:trPr>
          <w:trHeight w:val="387" w:hRule="atLeast"/>
        </w:trPr>
        <w:tc>
          <w:tcPr>
            <w:tcW w:w="241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财力定额补助</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30,000</w:t>
            </w:r>
          </w:p>
        </w:tc>
      </w:tr>
      <w:tr>
        <w:tblPrEx>
          <w:tblLayout w:type="fixed"/>
          <w:tblCellMar>
            <w:top w:w="0" w:type="dxa"/>
            <w:left w:w="108" w:type="dxa"/>
            <w:bottom w:w="0" w:type="dxa"/>
            <w:right w:w="108" w:type="dxa"/>
          </w:tblCellMar>
        </w:tblPrEx>
        <w:trPr>
          <w:trHeight w:val="387" w:hRule="atLeast"/>
        </w:trPr>
        <w:tc>
          <w:tcPr>
            <w:tcW w:w="2410" w:type="dxa"/>
            <w:vMerge w:val="continue"/>
            <w:tcBorders>
              <w:left w:val="single" w:color="auto" w:sz="4" w:space="0"/>
              <w:bottom w:val="single" w:color="auto" w:sz="4" w:space="0"/>
              <w:right w:val="single" w:color="auto" w:sz="4" w:space="0"/>
            </w:tcBorders>
            <w:vAlign w:val="center"/>
          </w:tcPr>
          <w:p>
            <w:pPr>
              <w:widowControl/>
              <w:jc w:val="cente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专项转移支付</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553</w:t>
            </w:r>
          </w:p>
        </w:tc>
      </w:tr>
      <w:tr>
        <w:tblPrEx>
          <w:tblLayout w:type="fixed"/>
          <w:tblCellMar>
            <w:top w:w="0" w:type="dxa"/>
            <w:left w:w="108" w:type="dxa"/>
            <w:bottom w:w="0" w:type="dxa"/>
            <w:right w:w="108" w:type="dxa"/>
          </w:tblCellMar>
        </w:tblPrEx>
        <w:trPr>
          <w:trHeight w:val="401" w:hRule="atLeast"/>
        </w:trPr>
        <w:tc>
          <w:tcPr>
            <w:tcW w:w="2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rPr>
            </w:pPr>
          </w:p>
        </w:tc>
        <w:tc>
          <w:tcPr>
            <w:tcW w:w="4111" w:type="dxa"/>
            <w:tcBorders>
              <w:top w:val="nil"/>
              <w:left w:val="nil"/>
              <w:bottom w:val="single" w:color="auto" w:sz="4" w:space="0"/>
              <w:right w:val="single" w:color="auto" w:sz="4" w:space="0"/>
            </w:tcBorders>
            <w:shd w:val="clear" w:color="auto" w:fill="D7D7D7"/>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转移支付小计：</w:t>
            </w:r>
          </w:p>
        </w:tc>
        <w:tc>
          <w:tcPr>
            <w:tcW w:w="1984" w:type="dxa"/>
            <w:tcBorders>
              <w:top w:val="nil"/>
              <w:left w:val="nil"/>
              <w:bottom w:val="single" w:color="auto" w:sz="4" w:space="0"/>
              <w:right w:val="single" w:color="auto" w:sz="4" w:space="0"/>
            </w:tcBorders>
            <w:shd w:val="clear" w:color="auto" w:fill="D7D7D7"/>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lang w:val="en-US" w:eastAsia="zh-CN"/>
              </w:rPr>
              <w:t>91</w:t>
            </w:r>
            <w:r>
              <w:rPr>
                <w:rFonts w:hint="eastAsia" w:ascii="仿宋_GB2312" w:hAnsi="仿宋_GB2312" w:eastAsia="仿宋_GB2312" w:cs="仿宋_GB2312"/>
                <w:b/>
                <w:bCs/>
                <w:kern w:val="0"/>
                <w:sz w:val="22"/>
                <w:szCs w:val="22"/>
              </w:rPr>
              <w:t>,</w:t>
            </w:r>
            <w:r>
              <w:rPr>
                <w:rFonts w:hint="eastAsia" w:ascii="仿宋_GB2312" w:hAnsi="仿宋_GB2312" w:eastAsia="仿宋_GB2312" w:cs="仿宋_GB2312"/>
                <w:b/>
                <w:bCs/>
                <w:kern w:val="0"/>
                <w:sz w:val="22"/>
                <w:szCs w:val="22"/>
                <w:lang w:val="en-US" w:eastAsia="zh-CN"/>
              </w:rPr>
              <w:t>378</w:t>
            </w:r>
          </w:p>
        </w:tc>
      </w:tr>
      <w:tr>
        <w:tblPrEx>
          <w:tblLayout w:type="fixed"/>
          <w:tblCellMar>
            <w:top w:w="0" w:type="dxa"/>
            <w:left w:w="108" w:type="dxa"/>
            <w:bottom w:w="0" w:type="dxa"/>
            <w:right w:w="108" w:type="dxa"/>
          </w:tblCellMar>
        </w:tblPrEx>
        <w:trPr>
          <w:trHeight w:val="417" w:hRule="atLeast"/>
        </w:trPr>
        <w:tc>
          <w:tcPr>
            <w:tcW w:w="6521" w:type="dxa"/>
            <w:gridSpan w:val="2"/>
            <w:tcBorders>
              <w:top w:val="single" w:color="auto" w:sz="4" w:space="0"/>
              <w:left w:val="single" w:color="auto" w:sz="4" w:space="0"/>
              <w:bottom w:val="single" w:color="auto" w:sz="4" w:space="0"/>
              <w:right w:val="single" w:color="auto" w:sz="4" w:space="0"/>
            </w:tcBorders>
            <w:shd w:val="clear" w:color="auto" w:fill="BEBEBE"/>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公共预算可用财力合计：</w:t>
            </w:r>
          </w:p>
        </w:tc>
        <w:tc>
          <w:tcPr>
            <w:tcW w:w="1984"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215,553</w:t>
            </w:r>
          </w:p>
        </w:tc>
      </w:tr>
    </w:tbl>
    <w:p>
      <w:pPr>
        <w:spacing w:line="560" w:lineRule="exact"/>
        <w:ind w:firstLine="633" w:firstLineChars="198"/>
        <w:rPr>
          <w:rFonts w:ascii="仿宋_GB2312" w:hAnsi="仿宋_GB2312" w:eastAsia="仿宋_GB2312" w:cs="仿宋_GB2312"/>
          <w:b/>
          <w:sz w:val="32"/>
          <w:szCs w:val="32"/>
        </w:rPr>
      </w:pPr>
      <w:r>
        <w:rPr>
          <w:rFonts w:hint="eastAsia" w:ascii="仿宋_GB2312" w:eastAsia="仿宋_GB2312"/>
          <w:sz w:val="32"/>
          <w:szCs w:val="32"/>
        </w:rPr>
        <w:t>（3）政府基金预算收入及可用财力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本着积极稳妥的原则，</w:t>
      </w:r>
      <w:r>
        <w:rPr>
          <w:rFonts w:hint="eastAsia" w:ascii="仿宋_GB2312" w:hAnsi="仿宋_GB2312" w:eastAsia="仿宋_GB2312" w:cs="仿宋_GB2312"/>
          <w:color w:val="000000"/>
          <w:kern w:val="0"/>
          <w:sz w:val="32"/>
          <w:szCs w:val="32"/>
        </w:rPr>
        <w:t>在综合分析基地招商企业入驻及</w:t>
      </w:r>
      <w:r>
        <w:rPr>
          <w:rFonts w:hint="eastAsia" w:ascii="仿宋_GB2312" w:hAnsi="仿宋_GB2312" w:eastAsia="仿宋_GB2312" w:cs="仿宋_GB2312"/>
          <w:sz w:val="32"/>
          <w:szCs w:val="32"/>
        </w:rPr>
        <w:t>2018年土地指标评估价的基础上，管委会政府性基金预算收入为30,000万元，较上年下降5.4%，其中：土地出让金收入计划24,500万元，城市公用附加收入计划5,500万元。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基金预算当年收入30,000万元，上年结转10,689万元，可用财力合计40,689万元。</w:t>
      </w:r>
    </w:p>
    <w:p>
      <w:pPr>
        <w:spacing w:line="560" w:lineRule="exact"/>
        <w:ind w:firstLine="633" w:firstLineChars="198"/>
        <w:rPr>
          <w:rFonts w:ascii="仿宋_GB2312" w:eastAsia="仿宋_GB2312"/>
          <w:sz w:val="32"/>
          <w:szCs w:val="32"/>
        </w:rPr>
      </w:pPr>
      <w:r>
        <w:rPr>
          <w:rFonts w:hint="eastAsia" w:ascii="仿宋_GB2312" w:eastAsia="仿宋_GB2312"/>
          <w:sz w:val="32"/>
          <w:szCs w:val="32"/>
        </w:rPr>
        <w:t>（4）国有资本经营预算收入预算及可用财力</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2018年宁东基地国有资本经营预算可用财力1,509万元，其中：宁东开发投资公司预计上解国有资本经营收入600万元；宁东能化公司预计上解国有资本经营收入100万元；宁东担保公司预计上解国有资本经营收入100万元，上年结转709万元。</w:t>
      </w:r>
    </w:p>
    <w:p>
      <w:pPr>
        <w:spacing w:line="56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以上一般公共预算、政府性基金预算及国有资本经营预算可用财力总计为</w:t>
      </w:r>
      <w:r>
        <w:rPr>
          <w:rFonts w:hint="eastAsia" w:ascii="仿宋_GB2312" w:hAnsi="宋体" w:eastAsia="仿宋_GB2312" w:cs="宋体"/>
          <w:b/>
          <w:bCs/>
          <w:kern w:val="0"/>
          <w:sz w:val="32"/>
          <w:szCs w:val="32"/>
        </w:rPr>
        <w:t>257,751</w:t>
      </w:r>
      <w:r>
        <w:rPr>
          <w:rFonts w:hint="eastAsia" w:ascii="仿宋_GB2312" w:hAnsi="仿宋_GB2312" w:eastAsia="仿宋_GB2312" w:cs="仿宋_GB2312"/>
          <w:b/>
          <w:bCs/>
          <w:sz w:val="32"/>
          <w:szCs w:val="32"/>
        </w:rPr>
        <w:t>万元。</w:t>
      </w:r>
    </w:p>
    <w:p>
      <w:pPr>
        <w:spacing w:line="600" w:lineRule="exact"/>
        <w:ind w:left="420" w:left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（二）2018年财政预算安排</w:t>
      </w:r>
    </w:p>
    <w:p>
      <w:pPr>
        <w:widowControl/>
        <w:shd w:val="clear" w:color="auto" w:fill="FFFFFF"/>
        <w:spacing w:line="560" w:lineRule="exact"/>
        <w:ind w:firstLine="64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在编制2018年项目支出预算中，根据全口径预算管理要求，将一般公共财政预算、基金预算和国有资本经营预算相结合，形成全口径预算。</w:t>
      </w:r>
    </w:p>
    <w:p>
      <w:pPr>
        <w:widowControl/>
        <w:shd w:val="clear" w:color="auto" w:fill="FFFFFF"/>
        <w:spacing w:line="560" w:lineRule="exact"/>
        <w:ind w:firstLine="645"/>
        <w:jc w:val="left"/>
        <w:rPr>
          <w:rFonts w:ascii="仿宋_GB2312" w:hAnsi="宋体" w:eastAsia="仿宋_GB2312" w:cs="宋体"/>
          <w:kern w:val="0"/>
          <w:sz w:val="32"/>
          <w:szCs w:val="32"/>
        </w:rPr>
      </w:pPr>
      <w:r>
        <w:rPr>
          <w:rFonts w:hint="eastAsia" w:ascii="仿宋_GB2312" w:hAnsi="仿宋_GB2312" w:eastAsia="仿宋_GB2312" w:cs="仿宋_GB2312"/>
          <w:kern w:val="0"/>
          <w:sz w:val="32"/>
          <w:szCs w:val="32"/>
        </w:rPr>
        <w:t>2018年预计可用财力2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en-US" w:eastAsia="zh-CN"/>
        </w:rPr>
        <w:t>751</w:t>
      </w:r>
      <w:r>
        <w:rPr>
          <w:rFonts w:hint="eastAsia" w:ascii="仿宋_GB2312" w:hAnsi="仿宋_GB2312" w:eastAsia="仿宋_GB2312" w:cs="仿宋_GB2312"/>
          <w:kern w:val="0"/>
          <w:sz w:val="32"/>
          <w:szCs w:val="32"/>
        </w:rPr>
        <w:t>万元，较上年189,949万元增加87,097万元，支出预算较上年有所增加。</w:t>
      </w:r>
      <w:r>
        <w:rPr>
          <w:rFonts w:hint="eastAsia" w:ascii="仿宋_GB2312" w:hAnsi="仿宋_GB2312" w:eastAsia="仿宋_GB2312" w:cs="仿宋_GB2312"/>
          <w:kern w:val="0"/>
          <w:sz w:val="32"/>
          <w:szCs w:val="32"/>
          <w:lang w:eastAsia="zh-CN"/>
        </w:rPr>
        <w:t>按照“三公经费”只减不增的要求，</w:t>
      </w:r>
      <w:r>
        <w:rPr>
          <w:rFonts w:hint="eastAsia" w:ascii="仿宋_GB2312" w:hAnsi="仿宋_GB2312" w:eastAsia="仿宋_GB2312" w:cs="仿宋_GB2312"/>
          <w:kern w:val="0"/>
          <w:sz w:val="32"/>
          <w:szCs w:val="32"/>
          <w:lang w:val="en-US" w:eastAsia="zh-CN"/>
        </w:rPr>
        <w:t>2018年安排“三公经费”支出共计112万元，较上年实际支</w:t>
      </w:r>
      <w:bookmarkStart w:id="0" w:name="_GoBack"/>
      <w:r>
        <w:rPr>
          <w:rFonts w:hint="eastAsia" w:ascii="仿宋_GB2312" w:hAnsi="仿宋_GB2312" w:eastAsia="仿宋_GB2312" w:cs="仿宋_GB2312"/>
          <w:color w:val="auto"/>
          <w:kern w:val="0"/>
          <w:sz w:val="32"/>
          <w:szCs w:val="32"/>
          <w:lang w:val="en-US" w:eastAsia="zh-CN"/>
        </w:rPr>
        <w:t>出下降23.57%</w:t>
      </w:r>
      <w:bookmarkEnd w:id="0"/>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在充分考虑各方面的资金需求，</w:t>
      </w:r>
      <w:r>
        <w:rPr>
          <w:rFonts w:hint="eastAsia" w:ascii="仿宋_GB2312" w:hAnsi="仿宋_GB2312" w:eastAsia="仿宋_GB2312" w:cs="仿宋_GB2312"/>
          <w:sz w:val="32"/>
          <w:szCs w:val="32"/>
        </w:rPr>
        <w:t>根据2018年基地经济发展态势，按照“保运转、惠民生、促改革、调结构、促发展”的原则，围绕基地2018年重点工作，</w:t>
      </w:r>
      <w:r>
        <w:rPr>
          <w:rFonts w:hint="eastAsia" w:ascii="仿宋_GB2312" w:hAnsi="仿宋_GB2312" w:eastAsia="仿宋_GB2312" w:cs="仿宋_GB2312"/>
          <w:kern w:val="0"/>
          <w:sz w:val="32"/>
          <w:szCs w:val="32"/>
        </w:rPr>
        <w:t>统筹安排各项支出，</w:t>
      </w:r>
      <w:r>
        <w:rPr>
          <w:rFonts w:hint="eastAsia" w:ascii="仿宋_GB2312" w:hAnsi="宋体" w:eastAsia="仿宋_GB2312" w:cs="宋体"/>
          <w:kern w:val="0"/>
          <w:sz w:val="32"/>
          <w:szCs w:val="32"/>
        </w:rPr>
        <w:t>其中：基本支出11,610万元，项目支出265,436万元。详见下表：</w:t>
      </w:r>
    </w:p>
    <w:p>
      <w:pPr>
        <w:widowControl/>
        <w:shd w:val="clear" w:color="auto" w:fill="FFFFFF"/>
        <w:spacing w:line="560" w:lineRule="exact"/>
        <w:ind w:firstLine="60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2018年宁东基地支出预算汇总表</w:t>
      </w:r>
    </w:p>
    <w:p>
      <w:pPr>
        <w:widowControl/>
        <w:shd w:val="clear" w:color="auto" w:fill="FFFFFF"/>
        <w:spacing w:line="240" w:lineRule="exact"/>
        <w:ind w:firstLine="601"/>
        <w:jc w:val="left"/>
        <w:rPr>
          <w:rFonts w:ascii="仿宋_GB2312" w:hAnsi="宋体" w:eastAsia="仿宋_GB2312" w:cs="宋体"/>
          <w:kern w:val="0"/>
          <w:sz w:val="24"/>
        </w:rPr>
      </w:pPr>
      <w:r>
        <w:rPr>
          <w:rFonts w:hint="eastAsia" w:ascii="仿宋_GB2312" w:hAnsi="宋体" w:eastAsia="仿宋_GB2312" w:cs="宋体"/>
          <w:kern w:val="0"/>
          <w:sz w:val="24"/>
        </w:rPr>
        <w:t xml:space="preserve">   表四                      </w:t>
      </w:r>
      <w:r>
        <w:rPr>
          <w:rFonts w:ascii="仿宋_GB2312" w:hAnsi="宋体" w:eastAsia="仿宋_GB2312" w:cs="宋体"/>
          <w:kern w:val="0"/>
          <w:sz w:val="24"/>
        </w:rPr>
        <w:t xml:space="preserve">                  </w:t>
      </w:r>
      <w:r>
        <w:rPr>
          <w:rFonts w:hint="eastAsia" w:ascii="仿宋_GB2312" w:hAnsi="宋体" w:eastAsia="仿宋_GB2312" w:cs="宋体"/>
          <w:kern w:val="0"/>
          <w:sz w:val="24"/>
        </w:rPr>
        <w:t xml:space="preserve">  单位：万元</w:t>
      </w:r>
    </w:p>
    <w:tbl>
      <w:tblPr>
        <w:tblStyle w:val="8"/>
        <w:tblW w:w="8647"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701"/>
        <w:gridCol w:w="5103"/>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Align w:val="center"/>
          </w:tcPr>
          <w:p>
            <w:pPr>
              <w:widowControl/>
              <w:jc w:val="center"/>
              <w:textAlignment w:val="center"/>
              <w:rPr>
                <w:rFonts w:ascii="仿宋_GB2312" w:hAnsi="宋体" w:eastAsia="仿宋_GB2312" w:cs="仿宋_GB2312"/>
                <w:bCs/>
                <w:color w:val="000000"/>
                <w:sz w:val="22"/>
                <w:szCs w:val="22"/>
              </w:rPr>
            </w:pPr>
            <w:r>
              <w:rPr>
                <w:rFonts w:hint="eastAsia" w:ascii="仿宋_GB2312" w:hAnsi="宋体" w:eastAsia="仿宋_GB2312" w:cs="仿宋_GB2312"/>
                <w:bCs/>
                <w:color w:val="000000"/>
                <w:kern w:val="0"/>
                <w:sz w:val="22"/>
                <w:szCs w:val="22"/>
                <w:lang w:bidi="ar"/>
              </w:rPr>
              <w:t>类 别</w:t>
            </w:r>
          </w:p>
        </w:tc>
        <w:tc>
          <w:tcPr>
            <w:tcW w:w="5103" w:type="dxa"/>
            <w:vAlign w:val="center"/>
          </w:tcPr>
          <w:p>
            <w:pPr>
              <w:widowControl/>
              <w:jc w:val="center"/>
              <w:textAlignment w:val="center"/>
              <w:rPr>
                <w:rFonts w:ascii="仿宋_GB2312" w:hAnsi="宋体" w:eastAsia="仿宋_GB2312" w:cs="仿宋_GB2312"/>
                <w:bCs/>
                <w:color w:val="000000"/>
                <w:sz w:val="22"/>
                <w:szCs w:val="22"/>
              </w:rPr>
            </w:pPr>
            <w:r>
              <w:rPr>
                <w:rFonts w:hint="eastAsia" w:ascii="仿宋_GB2312" w:hAnsi="宋体" w:eastAsia="仿宋_GB2312" w:cs="仿宋_GB2312"/>
                <w:bCs/>
                <w:color w:val="000000"/>
                <w:kern w:val="0"/>
                <w:sz w:val="22"/>
                <w:szCs w:val="22"/>
                <w:lang w:bidi="ar"/>
              </w:rPr>
              <w:t>项 目</w:t>
            </w:r>
          </w:p>
        </w:tc>
        <w:tc>
          <w:tcPr>
            <w:tcW w:w="1843" w:type="dxa"/>
            <w:vAlign w:val="center"/>
          </w:tcPr>
          <w:p>
            <w:pPr>
              <w:widowControl/>
              <w:jc w:val="center"/>
              <w:textAlignment w:val="center"/>
              <w:rPr>
                <w:rFonts w:ascii="仿宋_GB2312" w:hAnsi="宋体" w:eastAsia="仿宋_GB2312" w:cs="仿宋_GB2312"/>
                <w:bCs/>
                <w:color w:val="000000"/>
                <w:sz w:val="22"/>
                <w:szCs w:val="22"/>
              </w:rPr>
            </w:pPr>
            <w:r>
              <w:rPr>
                <w:rFonts w:hint="eastAsia" w:ascii="仿宋_GB2312" w:hAnsi="宋体" w:eastAsia="仿宋_GB2312" w:cs="仿宋_GB2312"/>
                <w:bCs/>
                <w:color w:val="000000"/>
                <w:kern w:val="0"/>
                <w:sz w:val="22"/>
                <w:szCs w:val="22"/>
                <w:lang w:bidi="ar"/>
              </w:rPr>
              <w:t>金 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restart"/>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一、基本支出</w:t>
            </w: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在职人员工资福利支出（含退休）</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9,385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聘用及其他人员工资福利支出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1,498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6"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基本公用支出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559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6" w:hRule="atLeast"/>
        </w:trPr>
        <w:tc>
          <w:tcPr>
            <w:tcW w:w="1701" w:type="dxa"/>
            <w:vMerge w:val="continue"/>
            <w:vAlign w:val="center"/>
          </w:tcPr>
          <w:p>
            <w:pPr>
              <w:widowControl/>
              <w:jc w:val="left"/>
              <w:textAlignment w:val="center"/>
            </w:pPr>
          </w:p>
        </w:tc>
        <w:tc>
          <w:tcPr>
            <w:tcW w:w="5103" w:type="dxa"/>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其他基本支出</w:t>
            </w:r>
          </w:p>
        </w:tc>
        <w:tc>
          <w:tcPr>
            <w:tcW w:w="1843" w:type="dxa"/>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shd w:val="clear" w:color="auto" w:fill="auto"/>
            <w:vAlign w:val="center"/>
          </w:tcPr>
          <w:p>
            <w:pPr>
              <w:jc w:val="center"/>
              <w:rPr>
                <w:rFonts w:ascii="仿宋_GB2312" w:hAnsi="宋体" w:eastAsia="仿宋_GB2312" w:cs="仿宋_GB2312"/>
                <w:b/>
                <w:color w:val="000000"/>
                <w:sz w:val="22"/>
                <w:szCs w:val="22"/>
              </w:rPr>
            </w:pPr>
          </w:p>
        </w:tc>
        <w:tc>
          <w:tcPr>
            <w:tcW w:w="5103" w:type="dxa"/>
            <w:shd w:val="clear" w:color="auto" w:fill="D7D7D7"/>
            <w:vAlign w:val="center"/>
          </w:tcPr>
          <w:p>
            <w:pPr>
              <w:widowControl/>
              <w:jc w:val="left"/>
              <w:textAlignment w:val="center"/>
              <w:rPr>
                <w:rFonts w:ascii="仿宋_GB2312" w:hAnsi="宋体" w:eastAsia="仿宋_GB2312" w:cs="仿宋_GB2312"/>
                <w:b/>
                <w:sz w:val="22"/>
                <w:szCs w:val="22"/>
              </w:rPr>
            </w:pPr>
            <w:r>
              <w:rPr>
                <w:rFonts w:hint="eastAsia" w:ascii="仿宋_GB2312" w:hAnsi="宋体" w:eastAsia="仿宋_GB2312" w:cs="仿宋_GB2312"/>
                <w:b/>
                <w:kern w:val="0"/>
                <w:sz w:val="22"/>
                <w:szCs w:val="22"/>
                <w:lang w:bidi="ar"/>
              </w:rPr>
              <w:t>基本支出小计</w:t>
            </w:r>
          </w:p>
        </w:tc>
        <w:tc>
          <w:tcPr>
            <w:tcW w:w="1843" w:type="dxa"/>
            <w:shd w:val="clear" w:color="auto" w:fill="D7D7D7"/>
            <w:vAlign w:val="center"/>
          </w:tcPr>
          <w:p>
            <w:pPr>
              <w:widowControl/>
              <w:jc w:val="center"/>
              <w:textAlignment w:val="center"/>
              <w:rPr>
                <w:rFonts w:ascii="仿宋_GB2312" w:hAnsi="宋体" w:eastAsia="仿宋_GB2312" w:cs="仿宋_GB2312"/>
                <w:b/>
                <w:sz w:val="22"/>
                <w:szCs w:val="22"/>
              </w:rPr>
            </w:pPr>
            <w:r>
              <w:rPr>
                <w:rFonts w:hint="eastAsia" w:ascii="仿宋_GB2312" w:hAnsi="宋体" w:eastAsia="仿宋_GB2312" w:cs="仿宋_GB2312"/>
                <w:b/>
                <w:kern w:val="0"/>
                <w:sz w:val="22"/>
                <w:szCs w:val="22"/>
                <w:lang w:bidi="ar"/>
              </w:rPr>
              <w:t>11,610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restart"/>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二、项目支出</w:t>
            </w: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部门运转支出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1</w:t>
            </w:r>
            <w:r>
              <w:rPr>
                <w:rFonts w:hint="eastAsia" w:ascii="仿宋_GB2312" w:hAnsi="宋体" w:eastAsia="仿宋_GB2312" w:cs="仿宋_GB2312"/>
                <w:color w:val="000000"/>
                <w:kern w:val="0"/>
                <w:sz w:val="22"/>
                <w:szCs w:val="22"/>
                <w:lang w:val="en-US" w:eastAsia="zh-CN" w:bidi="ar"/>
              </w:rPr>
              <w:t>2</w:t>
            </w:r>
            <w:r>
              <w:rPr>
                <w:rFonts w:hint="eastAsia" w:ascii="仿宋_GB2312" w:hAnsi="宋体" w:eastAsia="仿宋_GB2312" w:cs="仿宋_GB2312"/>
                <w:color w:val="000000"/>
                <w:kern w:val="0"/>
                <w:sz w:val="22"/>
                <w:szCs w:val="22"/>
                <w:lang w:bidi="ar"/>
              </w:rPr>
              <w:t>,</w:t>
            </w:r>
            <w:r>
              <w:rPr>
                <w:rFonts w:hint="eastAsia" w:ascii="仿宋_GB2312" w:hAnsi="宋体" w:eastAsia="仿宋_GB2312" w:cs="仿宋_GB2312"/>
                <w:color w:val="000000"/>
                <w:kern w:val="0"/>
                <w:sz w:val="22"/>
                <w:szCs w:val="22"/>
                <w:lang w:val="en-US" w:eastAsia="zh-CN" w:bidi="ar"/>
              </w:rPr>
              <w:t>970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5"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0"/>
                <w:szCs w:val="20"/>
                <w:lang w:bidi="ar"/>
              </w:rPr>
              <w:t xml:space="preserve">   其中：1.管委会预算单位支出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0"/>
                <w:szCs w:val="20"/>
                <w:lang w:bidi="ar"/>
              </w:rPr>
              <w:t>6,054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5"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0"/>
                <w:szCs w:val="20"/>
                <w:lang w:bidi="ar"/>
              </w:rPr>
              <w:t xml:space="preserve">         2.宁东相关服务部门支出</w:t>
            </w:r>
          </w:p>
        </w:tc>
        <w:tc>
          <w:tcPr>
            <w:tcW w:w="1843" w:type="dxa"/>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0"/>
                <w:szCs w:val="20"/>
                <w:lang w:val="en-US" w:eastAsia="zh-CN" w:bidi="ar"/>
              </w:rPr>
              <w:t>6</w:t>
            </w:r>
            <w:r>
              <w:rPr>
                <w:rFonts w:hint="eastAsia" w:ascii="仿宋_GB2312" w:hAnsi="宋体" w:eastAsia="仿宋_GB2312" w:cs="仿宋_GB2312"/>
                <w:color w:val="000000"/>
                <w:kern w:val="0"/>
                <w:sz w:val="20"/>
                <w:szCs w:val="20"/>
                <w:lang w:bidi="ar"/>
              </w:rPr>
              <w:t>,</w:t>
            </w:r>
            <w:r>
              <w:rPr>
                <w:rFonts w:hint="eastAsia" w:ascii="仿宋_GB2312" w:hAnsi="宋体" w:eastAsia="仿宋_GB2312" w:cs="仿宋_GB2312"/>
                <w:color w:val="000000"/>
                <w:kern w:val="0"/>
                <w:sz w:val="20"/>
                <w:szCs w:val="20"/>
                <w:lang w:val="en-US" w:eastAsia="zh-CN" w:bidi="ar"/>
              </w:rPr>
              <w:t>916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5"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民生专项支出</w:t>
            </w:r>
          </w:p>
        </w:tc>
        <w:tc>
          <w:tcPr>
            <w:tcW w:w="1843" w:type="dxa"/>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w:t>
            </w:r>
            <w:r>
              <w:rPr>
                <w:rFonts w:hint="eastAsia" w:ascii="仿宋_GB2312" w:hAnsi="宋体" w:eastAsia="仿宋_GB2312" w:cs="仿宋_GB2312"/>
                <w:color w:val="000000"/>
                <w:kern w:val="0"/>
                <w:sz w:val="22"/>
                <w:szCs w:val="22"/>
                <w:lang w:val="en-US" w:eastAsia="zh-CN" w:bidi="ar"/>
              </w:rPr>
              <w:t>1</w:t>
            </w:r>
            <w:r>
              <w:rPr>
                <w:rFonts w:hint="eastAsia" w:ascii="仿宋_GB2312" w:hAnsi="宋体" w:eastAsia="仿宋_GB2312" w:cs="仿宋_GB2312"/>
                <w:color w:val="000000"/>
                <w:kern w:val="0"/>
                <w:sz w:val="22"/>
                <w:szCs w:val="22"/>
                <w:lang w:bidi="ar"/>
              </w:rPr>
              <w:t>,</w:t>
            </w:r>
            <w:r>
              <w:rPr>
                <w:rFonts w:hint="eastAsia" w:ascii="仿宋_GB2312" w:hAnsi="宋体" w:eastAsia="仿宋_GB2312" w:cs="仿宋_GB2312"/>
                <w:color w:val="000000"/>
                <w:kern w:val="0"/>
                <w:sz w:val="22"/>
                <w:szCs w:val="22"/>
                <w:lang w:val="en-US" w:eastAsia="zh-CN" w:bidi="ar"/>
              </w:rPr>
              <w:t>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   其中：1.教育专项支出</w:t>
            </w:r>
          </w:p>
        </w:tc>
        <w:tc>
          <w:tcPr>
            <w:tcW w:w="1843" w:type="dxa"/>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val="en-US" w:eastAsia="zh-CN" w:bidi="ar"/>
              </w:rPr>
              <w:t>4</w:t>
            </w:r>
            <w:r>
              <w:rPr>
                <w:rFonts w:hint="eastAsia" w:ascii="仿宋_GB2312" w:hAnsi="宋体" w:eastAsia="仿宋_GB2312" w:cs="仿宋_GB2312"/>
                <w:color w:val="000000"/>
                <w:kern w:val="0"/>
                <w:sz w:val="20"/>
                <w:szCs w:val="20"/>
                <w:lang w:bidi="ar"/>
              </w:rPr>
              <w:t>,</w:t>
            </w:r>
            <w:r>
              <w:rPr>
                <w:rFonts w:hint="eastAsia" w:ascii="仿宋_GB2312" w:hAnsi="宋体" w:eastAsia="仿宋_GB2312" w:cs="仿宋_GB2312"/>
                <w:color w:val="000000"/>
                <w:kern w:val="0"/>
                <w:sz w:val="20"/>
                <w:szCs w:val="20"/>
                <w:lang w:val="en-US" w:eastAsia="zh-CN" w:bidi="ar"/>
              </w:rPr>
              <w:t>0</w:t>
            </w:r>
            <w:r>
              <w:rPr>
                <w:rFonts w:hint="eastAsia" w:ascii="仿宋_GB2312" w:hAnsi="宋体" w:eastAsia="仿宋_GB2312" w:cs="仿宋_GB2312"/>
                <w:color w:val="000000"/>
                <w:kern w:val="0"/>
                <w:sz w:val="20"/>
                <w:szCs w:val="20"/>
                <w:lang w:bidi="ar"/>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3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         2.扶贫支出</w:t>
            </w:r>
          </w:p>
        </w:tc>
        <w:tc>
          <w:tcPr>
            <w:tcW w:w="1843" w:type="dxa"/>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6"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         3.卫生专项支出</w:t>
            </w:r>
          </w:p>
        </w:tc>
        <w:tc>
          <w:tcPr>
            <w:tcW w:w="1843" w:type="dxa"/>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val="en-US" w:eastAsia="zh-CN" w:bidi="ar"/>
              </w:rPr>
              <w:t>5</w:t>
            </w:r>
            <w:r>
              <w:rPr>
                <w:rFonts w:hint="eastAsia" w:ascii="仿宋_GB2312" w:hAnsi="宋体" w:eastAsia="仿宋_GB2312" w:cs="仿宋_GB2312"/>
                <w:color w:val="000000"/>
                <w:kern w:val="0"/>
                <w:sz w:val="20"/>
                <w:szCs w:val="20"/>
                <w:lang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6" w:hRule="atLeast"/>
        </w:trPr>
        <w:tc>
          <w:tcPr>
            <w:tcW w:w="1701" w:type="dxa"/>
            <w:vMerge w:val="continue"/>
            <w:vAlign w:val="center"/>
          </w:tcPr>
          <w:p>
            <w:pPr>
              <w:widowControl/>
              <w:jc w:val="left"/>
              <w:textAlignment w:val="center"/>
            </w:pPr>
          </w:p>
        </w:tc>
        <w:tc>
          <w:tcPr>
            <w:tcW w:w="5103" w:type="dxa"/>
            <w:vAlign w:val="center"/>
          </w:tcPr>
          <w:p>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 xml:space="preserve">         4.社保、民政及公共卫生支出</w:t>
            </w:r>
          </w:p>
        </w:tc>
        <w:tc>
          <w:tcPr>
            <w:tcW w:w="1843" w:type="dxa"/>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w:t>
            </w:r>
            <w:r>
              <w:rPr>
                <w:rFonts w:hint="eastAsia" w:ascii="仿宋_GB2312" w:hAnsi="宋体" w:eastAsia="仿宋_GB2312" w:cs="仿宋_GB2312"/>
                <w:color w:val="000000"/>
                <w:kern w:val="0"/>
                <w:sz w:val="20"/>
                <w:szCs w:val="20"/>
                <w:lang w:val="en-US" w:eastAsia="zh-CN" w:bidi="ar"/>
              </w:rPr>
              <w:t>1</w:t>
            </w:r>
            <w:r>
              <w:rPr>
                <w:rFonts w:hint="eastAsia" w:ascii="仿宋_GB2312" w:hAnsi="宋体" w:eastAsia="仿宋_GB2312" w:cs="仿宋_GB2312"/>
                <w:color w:val="000000"/>
                <w:kern w:val="0"/>
                <w:sz w:val="20"/>
                <w:szCs w:val="20"/>
                <w:lang w:bidi="ar"/>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6"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         5.棚户区改造支出</w:t>
            </w:r>
          </w:p>
        </w:tc>
        <w:tc>
          <w:tcPr>
            <w:tcW w:w="1843" w:type="dxa"/>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val="en-US" w:eastAsia="zh-CN" w:bidi="ar"/>
              </w:rPr>
              <w:t>5</w:t>
            </w:r>
            <w:r>
              <w:rPr>
                <w:rFonts w:hint="eastAsia" w:ascii="仿宋_GB2312" w:hAnsi="宋体" w:eastAsia="仿宋_GB2312" w:cs="仿宋_GB2312"/>
                <w:color w:val="000000"/>
                <w:kern w:val="0"/>
                <w:sz w:val="20"/>
                <w:szCs w:val="20"/>
                <w:lang w:bidi="ar"/>
              </w:rPr>
              <w:t>,</w:t>
            </w:r>
            <w:r>
              <w:rPr>
                <w:rFonts w:hint="eastAsia" w:ascii="仿宋_GB2312" w:hAnsi="宋体" w:eastAsia="仿宋_GB2312" w:cs="仿宋_GB2312"/>
                <w:color w:val="000000"/>
                <w:kern w:val="0"/>
                <w:sz w:val="20"/>
                <w:szCs w:val="20"/>
                <w:lang w:val="en-US" w:eastAsia="zh-CN" w:bidi="ar"/>
              </w:rPr>
              <w:t>60</w:t>
            </w:r>
            <w:r>
              <w:rPr>
                <w:rFonts w:hint="eastAsia" w:ascii="仿宋_GB2312" w:hAnsi="宋体" w:eastAsia="仿宋_GB2312" w:cs="仿宋_GB2312"/>
                <w:color w:val="000000"/>
                <w:kern w:val="0"/>
                <w:sz w:val="20"/>
                <w:szCs w:val="20"/>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6" w:hRule="atLeast"/>
        </w:trPr>
        <w:tc>
          <w:tcPr>
            <w:tcW w:w="1701" w:type="dxa"/>
            <w:vMerge w:val="continue"/>
            <w:vAlign w:val="center"/>
          </w:tcPr>
          <w:p>
            <w:pPr>
              <w:widowControl/>
              <w:jc w:val="left"/>
              <w:textAlignment w:val="center"/>
            </w:pPr>
          </w:p>
        </w:tc>
        <w:tc>
          <w:tcPr>
            <w:tcW w:w="5103" w:type="dxa"/>
            <w:vAlign w:val="center"/>
          </w:tcPr>
          <w:p>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 xml:space="preserve">         6.平抑物价支出</w:t>
            </w:r>
          </w:p>
        </w:tc>
        <w:tc>
          <w:tcPr>
            <w:tcW w:w="1843" w:type="dxa"/>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环保支出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8,5</w:t>
            </w:r>
            <w:r>
              <w:rPr>
                <w:rFonts w:hint="eastAsia" w:ascii="仿宋_GB2312" w:hAnsi="宋体" w:eastAsia="仿宋_GB2312" w:cs="仿宋_GB2312"/>
                <w:color w:val="000000"/>
                <w:kern w:val="0"/>
                <w:sz w:val="22"/>
                <w:szCs w:val="22"/>
                <w:lang w:val="en-US" w:eastAsia="zh-CN" w:bidi="ar"/>
              </w:rPr>
              <w:t>3</w:t>
            </w:r>
            <w:r>
              <w:rPr>
                <w:rFonts w:hint="eastAsia" w:ascii="仿宋_GB2312" w:hAnsi="宋体" w:eastAsia="仿宋_GB2312" w:cs="仿宋_GB2312"/>
                <w:color w:val="000000"/>
                <w:kern w:val="0"/>
                <w:sz w:val="22"/>
                <w:szCs w:val="22"/>
                <w:lang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债务还本付息支出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w:t>
            </w:r>
            <w:r>
              <w:rPr>
                <w:rFonts w:hint="eastAsia" w:ascii="仿宋_GB2312" w:hAnsi="宋体" w:eastAsia="仿宋_GB2312" w:cs="仿宋_GB2312"/>
                <w:color w:val="000000"/>
                <w:kern w:val="0"/>
                <w:sz w:val="22"/>
                <w:szCs w:val="22"/>
                <w:lang w:val="en-US" w:eastAsia="zh-CN" w:bidi="ar"/>
              </w:rPr>
              <w:t>2</w:t>
            </w:r>
            <w:r>
              <w:rPr>
                <w:rFonts w:hint="eastAsia" w:ascii="仿宋_GB2312" w:hAnsi="宋体" w:eastAsia="仿宋_GB2312" w:cs="仿宋_GB2312"/>
                <w:color w:val="000000"/>
                <w:kern w:val="0"/>
                <w:sz w:val="22"/>
                <w:szCs w:val="22"/>
                <w:lang w:bidi="ar"/>
              </w:rPr>
              <w:t>,</w:t>
            </w:r>
            <w:r>
              <w:rPr>
                <w:rFonts w:hint="eastAsia" w:ascii="仿宋_GB2312" w:hAnsi="宋体" w:eastAsia="仿宋_GB2312" w:cs="仿宋_GB2312"/>
                <w:color w:val="000000"/>
                <w:kern w:val="0"/>
                <w:sz w:val="22"/>
                <w:szCs w:val="22"/>
                <w:lang w:val="en-US" w:eastAsia="zh-CN" w:bidi="ar"/>
              </w:rPr>
              <w:t>342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基地公用设施运行支出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val="en-US" w:eastAsia="zh-CN" w:bidi="ar"/>
              </w:rPr>
              <w:t>5</w:t>
            </w:r>
            <w:r>
              <w:rPr>
                <w:rFonts w:hint="eastAsia" w:ascii="仿宋_GB2312" w:hAnsi="宋体" w:eastAsia="仿宋_GB2312" w:cs="仿宋_GB2312"/>
                <w:color w:val="000000"/>
                <w:kern w:val="0"/>
                <w:sz w:val="22"/>
                <w:szCs w:val="22"/>
                <w:lang w:bidi="ar"/>
              </w:rPr>
              <w:t>,</w:t>
            </w:r>
            <w:r>
              <w:rPr>
                <w:rFonts w:hint="eastAsia" w:ascii="仿宋_GB2312" w:hAnsi="宋体" w:eastAsia="仿宋_GB2312" w:cs="仿宋_GB2312"/>
                <w:color w:val="000000"/>
                <w:kern w:val="0"/>
                <w:sz w:val="22"/>
                <w:szCs w:val="22"/>
                <w:lang w:val="en-US" w:eastAsia="zh-CN" w:bidi="ar"/>
              </w:rPr>
              <w:t>766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基础设施建设及相关支出</w:t>
            </w:r>
          </w:p>
        </w:tc>
        <w:tc>
          <w:tcPr>
            <w:tcW w:w="1843" w:type="dxa"/>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35</w:t>
            </w:r>
            <w:r>
              <w:rPr>
                <w:rFonts w:hint="eastAsia" w:ascii="仿宋_GB2312" w:hAnsi="宋体" w:eastAsia="仿宋_GB2312" w:cs="仿宋_GB2312"/>
                <w:color w:val="000000"/>
                <w:kern w:val="0"/>
                <w:sz w:val="22"/>
                <w:szCs w:val="22"/>
                <w:lang w:bidi="ar"/>
              </w:rPr>
              <w:t>,</w:t>
            </w:r>
            <w:r>
              <w:rPr>
                <w:rFonts w:hint="eastAsia" w:ascii="仿宋_GB2312" w:hAnsi="宋体" w:eastAsia="仿宋_GB2312" w:cs="仿宋_GB2312"/>
                <w:color w:val="000000"/>
                <w:kern w:val="0"/>
                <w:sz w:val="22"/>
                <w:szCs w:val="22"/>
                <w:lang w:val="en-US" w:eastAsia="zh-CN"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eastAsia="zh-CN" w:bidi="ar"/>
              </w:rPr>
              <w:t>中介机构服务费</w:t>
            </w:r>
            <w:r>
              <w:rPr>
                <w:rFonts w:hint="eastAsia" w:ascii="仿宋_GB2312" w:hAnsi="宋体" w:eastAsia="仿宋_GB2312" w:cs="仿宋_GB2312"/>
                <w:color w:val="000000"/>
                <w:kern w:val="0"/>
                <w:sz w:val="22"/>
                <w:szCs w:val="22"/>
                <w:lang w:bidi="ar"/>
              </w:rPr>
              <w:t>等政府购买服务支出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0" w:hRule="atLeast"/>
        </w:trPr>
        <w:tc>
          <w:tcPr>
            <w:tcW w:w="1701" w:type="dxa"/>
            <w:vMerge w:val="continue"/>
            <w:vAlign w:val="center"/>
          </w:tcPr>
          <w:p>
            <w:pPr>
              <w:widowControl/>
              <w:jc w:val="left"/>
              <w:textAlignment w:val="center"/>
            </w:pPr>
          </w:p>
        </w:tc>
        <w:tc>
          <w:tcPr>
            <w:tcW w:w="5103" w:type="dxa"/>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宁东基地科技创新及促进产业发展支出</w:t>
            </w:r>
          </w:p>
        </w:tc>
        <w:tc>
          <w:tcPr>
            <w:tcW w:w="1843" w:type="dxa"/>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9</w:t>
            </w:r>
            <w:r>
              <w:rPr>
                <w:rFonts w:hint="eastAsia" w:ascii="仿宋_GB2312" w:hAnsi="宋体" w:eastAsia="仿宋_GB2312" w:cs="仿宋_GB2312"/>
                <w:color w:val="000000"/>
                <w:kern w:val="0"/>
                <w:sz w:val="22"/>
                <w:szCs w:val="22"/>
                <w:lang w:bidi="ar"/>
              </w:rPr>
              <w:t>,</w:t>
            </w:r>
            <w:r>
              <w:rPr>
                <w:rFonts w:hint="eastAsia" w:ascii="仿宋_GB2312" w:hAnsi="宋体" w:eastAsia="仿宋_GB2312" w:cs="仿宋_GB2312"/>
                <w:color w:val="000000"/>
                <w:kern w:val="0"/>
                <w:sz w:val="22"/>
                <w:szCs w:val="22"/>
                <w:lang w:val="en-US" w:eastAsia="zh-CN" w:bidi="ar"/>
              </w:rPr>
              <w:t>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0" w:hRule="atLeast"/>
        </w:trPr>
        <w:tc>
          <w:tcPr>
            <w:tcW w:w="1701" w:type="dxa"/>
            <w:vMerge w:val="continue"/>
            <w:vAlign w:val="center"/>
          </w:tcPr>
          <w:p>
            <w:pPr>
              <w:widowControl/>
              <w:jc w:val="left"/>
              <w:textAlignment w:val="center"/>
              <w:rPr>
                <w:rFonts w:ascii="仿宋_GB2312" w:hAnsi="宋体" w:eastAsia="仿宋_GB2312" w:cs="仿宋_GB2312"/>
                <w:color w:val="000000"/>
                <w:kern w:val="0"/>
                <w:sz w:val="22"/>
                <w:szCs w:val="22"/>
                <w:lang w:bidi="ar"/>
              </w:rPr>
            </w:pPr>
          </w:p>
        </w:tc>
        <w:tc>
          <w:tcPr>
            <w:tcW w:w="5103" w:type="dxa"/>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0"/>
                <w:szCs w:val="20"/>
                <w:lang w:bidi="ar"/>
              </w:rPr>
              <w:t xml:space="preserve">   其中：1.科技创新支出</w:t>
            </w:r>
          </w:p>
        </w:tc>
        <w:tc>
          <w:tcPr>
            <w:tcW w:w="1843" w:type="dxa"/>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0"/>
                <w:szCs w:val="20"/>
                <w:lang w:bidi="ar"/>
              </w:rPr>
              <w:t>2,572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         2.低成本化园区建设资金</w:t>
            </w:r>
          </w:p>
        </w:tc>
        <w:tc>
          <w:tcPr>
            <w:tcW w:w="1843" w:type="dxa"/>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lang w:val="en-US" w:eastAsia="zh-CN"/>
              </w:rPr>
              <w:t>2</w:t>
            </w:r>
            <w:r>
              <w:rPr>
                <w:rFonts w:hint="eastAsia" w:ascii="仿宋_GB2312" w:hAnsi="宋体" w:eastAsia="仿宋_GB2312" w:cs="仿宋_GB2312"/>
                <w:color w:val="000000"/>
                <w:sz w:val="20"/>
                <w:szCs w:val="20"/>
              </w:rPr>
              <w:t>,</w:t>
            </w:r>
            <w:r>
              <w:rPr>
                <w:rFonts w:hint="eastAsia" w:ascii="仿宋_GB2312" w:hAnsi="宋体" w:eastAsia="仿宋_GB2312" w:cs="仿宋_GB2312"/>
                <w:color w:val="000000"/>
                <w:sz w:val="20"/>
                <w:szCs w:val="20"/>
                <w:lang w:val="en-US" w:eastAsia="zh-CN"/>
              </w:rPr>
              <w:t>527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 xml:space="preserve">         3.招商奖励支出</w:t>
            </w:r>
          </w:p>
        </w:tc>
        <w:tc>
          <w:tcPr>
            <w:tcW w:w="1843" w:type="dxa"/>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6"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 xml:space="preserve">         4.促进产业发展支出</w:t>
            </w:r>
          </w:p>
        </w:tc>
        <w:tc>
          <w:tcPr>
            <w:tcW w:w="1843" w:type="dxa"/>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6" w:hRule="atLeast"/>
        </w:trPr>
        <w:tc>
          <w:tcPr>
            <w:tcW w:w="1701" w:type="dxa"/>
            <w:vMerge w:val="continue"/>
            <w:vAlign w:val="center"/>
          </w:tcPr>
          <w:p>
            <w:pPr>
              <w:widowControl/>
              <w:jc w:val="left"/>
              <w:textAlignment w:val="center"/>
            </w:pPr>
          </w:p>
        </w:tc>
        <w:tc>
          <w:tcPr>
            <w:tcW w:w="5103" w:type="dxa"/>
            <w:vAlign w:val="center"/>
          </w:tcPr>
          <w:p>
            <w:pPr>
              <w:widowControl/>
              <w:jc w:val="left"/>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2"/>
                <w:szCs w:val="22"/>
                <w:lang w:bidi="ar"/>
              </w:rPr>
              <w:t>对委属企业注资</w:t>
            </w:r>
          </w:p>
        </w:tc>
        <w:tc>
          <w:tcPr>
            <w:tcW w:w="1843" w:type="dxa"/>
            <w:vAlign w:val="center"/>
          </w:tcPr>
          <w:p>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2"/>
                <w:szCs w:val="22"/>
                <w:lang w:bidi="ar"/>
              </w:rPr>
              <w:t>74,000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征地拆迁补偿支出</w:t>
            </w:r>
          </w:p>
        </w:tc>
        <w:tc>
          <w:tcPr>
            <w:tcW w:w="1843" w:type="dxa"/>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w:t>
            </w:r>
            <w:r>
              <w:rPr>
                <w:rFonts w:hint="eastAsia" w:ascii="仿宋_GB2312" w:hAnsi="宋体" w:eastAsia="仿宋_GB2312" w:cs="仿宋_GB2312"/>
                <w:color w:val="000000"/>
                <w:kern w:val="0"/>
                <w:sz w:val="22"/>
                <w:szCs w:val="22"/>
                <w:lang w:val="en-US" w:eastAsia="zh-CN" w:bidi="ar"/>
              </w:rPr>
              <w:t>3</w:t>
            </w:r>
            <w:r>
              <w:rPr>
                <w:rFonts w:hint="eastAsia" w:ascii="仿宋_GB2312" w:hAnsi="宋体" w:eastAsia="仿宋_GB2312" w:cs="仿宋_GB2312"/>
                <w:color w:val="000000"/>
                <w:kern w:val="0"/>
                <w:sz w:val="22"/>
                <w:szCs w:val="22"/>
                <w:lang w:bidi="ar"/>
              </w:rPr>
              <w:t>,</w:t>
            </w:r>
            <w:r>
              <w:rPr>
                <w:rFonts w:hint="eastAsia" w:ascii="仿宋_GB2312" w:hAnsi="宋体" w:eastAsia="仿宋_GB2312" w:cs="仿宋_GB2312"/>
                <w:color w:val="000000"/>
                <w:kern w:val="0"/>
                <w:sz w:val="22"/>
                <w:szCs w:val="22"/>
                <w:lang w:val="en-US" w:eastAsia="zh-CN" w:bidi="ar"/>
              </w:rPr>
              <w:t>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预留资金</w:t>
            </w:r>
          </w:p>
        </w:tc>
        <w:tc>
          <w:tcPr>
            <w:tcW w:w="1843" w:type="dxa"/>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val="en-US" w:eastAsia="zh-CN" w:bidi="ar"/>
              </w:rPr>
              <w:t>5</w:t>
            </w:r>
            <w:r>
              <w:rPr>
                <w:rFonts w:hint="eastAsia" w:ascii="仿宋_GB2312" w:hAnsi="宋体" w:eastAsia="仿宋_GB2312" w:cs="仿宋_GB2312"/>
                <w:color w:val="000000"/>
                <w:kern w:val="0"/>
                <w:sz w:val="22"/>
                <w:szCs w:val="22"/>
                <w:lang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预备费</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4,600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1701" w:type="dxa"/>
            <w:vMerge w:val="continue"/>
            <w:shd w:val="clear" w:color="auto" w:fill="auto"/>
            <w:vAlign w:val="center"/>
          </w:tcPr>
          <w:p>
            <w:pPr>
              <w:jc w:val="center"/>
              <w:rPr>
                <w:rFonts w:ascii="仿宋_GB2312" w:hAnsi="宋体" w:eastAsia="仿宋_GB2312" w:cs="仿宋_GB2312"/>
                <w:b/>
                <w:color w:val="000000"/>
                <w:sz w:val="22"/>
                <w:szCs w:val="22"/>
              </w:rPr>
            </w:pPr>
          </w:p>
        </w:tc>
        <w:tc>
          <w:tcPr>
            <w:tcW w:w="5103" w:type="dxa"/>
            <w:shd w:val="clear" w:color="auto" w:fill="D7D7D7"/>
            <w:vAlign w:val="center"/>
          </w:tcPr>
          <w:p>
            <w:pPr>
              <w:widowControl/>
              <w:jc w:val="left"/>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项目支出小计</w:t>
            </w:r>
          </w:p>
        </w:tc>
        <w:tc>
          <w:tcPr>
            <w:tcW w:w="1843" w:type="dxa"/>
            <w:shd w:val="clear" w:color="auto" w:fill="D7D7D7"/>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2</w:t>
            </w:r>
            <w:r>
              <w:rPr>
                <w:rFonts w:hint="eastAsia" w:ascii="仿宋_GB2312" w:hAnsi="宋体" w:eastAsia="仿宋_GB2312" w:cs="仿宋_GB2312"/>
                <w:b/>
                <w:color w:val="000000"/>
                <w:kern w:val="0"/>
                <w:sz w:val="22"/>
                <w:szCs w:val="22"/>
                <w:lang w:val="en-US" w:eastAsia="zh-CN" w:bidi="ar"/>
              </w:rPr>
              <w:t>46</w:t>
            </w:r>
            <w:r>
              <w:rPr>
                <w:rFonts w:hint="eastAsia" w:ascii="仿宋_GB2312" w:hAnsi="宋体" w:eastAsia="仿宋_GB2312" w:cs="仿宋_GB2312"/>
                <w:b/>
                <w:color w:val="000000"/>
                <w:kern w:val="0"/>
                <w:sz w:val="22"/>
                <w:szCs w:val="22"/>
                <w:lang w:bidi="ar"/>
              </w:rPr>
              <w:t>,</w:t>
            </w:r>
            <w:r>
              <w:rPr>
                <w:rFonts w:hint="eastAsia" w:ascii="仿宋_GB2312" w:hAnsi="宋体" w:eastAsia="仿宋_GB2312" w:cs="仿宋_GB2312"/>
                <w:b/>
                <w:color w:val="000000"/>
                <w:kern w:val="0"/>
                <w:sz w:val="22"/>
                <w:szCs w:val="22"/>
                <w:lang w:val="en-US" w:eastAsia="zh-CN" w:bidi="ar"/>
              </w:rPr>
              <w:t>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trPr>
        <w:tc>
          <w:tcPr>
            <w:tcW w:w="6804" w:type="dxa"/>
            <w:gridSpan w:val="2"/>
            <w:shd w:val="clear" w:color="auto" w:fill="BEBEBE"/>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2018年预算支出合计：</w:t>
            </w:r>
          </w:p>
        </w:tc>
        <w:tc>
          <w:tcPr>
            <w:tcW w:w="1843" w:type="dxa"/>
            <w:shd w:val="clear" w:color="auto" w:fill="BEBEBE"/>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2</w:t>
            </w:r>
            <w:r>
              <w:rPr>
                <w:rFonts w:hint="eastAsia" w:ascii="仿宋_GB2312" w:hAnsi="宋体" w:eastAsia="仿宋_GB2312" w:cs="仿宋_GB2312"/>
                <w:b/>
                <w:color w:val="000000"/>
                <w:kern w:val="0"/>
                <w:sz w:val="24"/>
                <w:lang w:val="en-US" w:eastAsia="zh-CN" w:bidi="ar"/>
              </w:rPr>
              <w:t>5</w:t>
            </w:r>
            <w:r>
              <w:rPr>
                <w:rFonts w:hint="eastAsia" w:ascii="仿宋_GB2312" w:hAnsi="宋体" w:eastAsia="仿宋_GB2312" w:cs="仿宋_GB2312"/>
                <w:b/>
                <w:color w:val="000000"/>
                <w:kern w:val="0"/>
                <w:sz w:val="24"/>
                <w:lang w:bidi="ar"/>
              </w:rPr>
              <w:t>7,</w:t>
            </w:r>
            <w:r>
              <w:rPr>
                <w:rFonts w:hint="eastAsia" w:ascii="仿宋_GB2312" w:hAnsi="宋体" w:eastAsia="仿宋_GB2312" w:cs="仿宋_GB2312"/>
                <w:b/>
                <w:color w:val="000000"/>
                <w:kern w:val="0"/>
                <w:sz w:val="24"/>
                <w:lang w:val="en-US" w:eastAsia="zh-CN" w:bidi="ar"/>
              </w:rPr>
              <w:t>751</w:t>
            </w:r>
          </w:p>
        </w:tc>
      </w:tr>
    </w:tbl>
    <w:p>
      <w:pPr>
        <w:widowControl/>
        <w:shd w:val="clear" w:color="auto" w:fill="FFFFFF"/>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具体安排如下：</w:t>
      </w:r>
    </w:p>
    <w:p>
      <w:pPr>
        <w:widowControl/>
        <w:shd w:val="clear" w:color="auto" w:fill="FFFFFF"/>
        <w:spacing w:line="560" w:lineRule="exact"/>
        <w:ind w:firstLine="630" w:firstLineChars="196"/>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1.基本支出预算安排11,610万元。</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2018年基本支出预算主要用于人员工资福利支出及日常公用经费支出，编制政策与要求上年一致。工资福利支出和对个人家庭补助支出按照自治区及管委会工资福利政策据实安排；公用及其他基本支出参照按照财政厅基本支出预算定额标准进行了核定。 </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2018年基本支出预算安排较上年减少613万元，同比下降5%。2018年人员工资等基本支出标准与上年一致，但根据有关要求，2017年年末安排宁东管委会各预算单位一次性补缴以前年度职业年金及养老保险，导致上年该项预算金额较大。</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（1）安排在职人员工资福利支出9,385万元；</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（2）聘用及其他人员工资福利支出1,498万元；</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（3）安排基本公用支出559万元；</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（4）安排其他基本支出168万元，主要包括：工会经费58万元；公务车运行维护费48万元；因公出国（境）经费30万元；村、社区办公经费32万元。</w:t>
      </w:r>
    </w:p>
    <w:p>
      <w:pPr>
        <w:widowControl/>
        <w:shd w:val="clear" w:color="auto" w:fill="FFFFFF"/>
        <w:spacing w:line="560" w:lineRule="exact"/>
        <w:ind w:firstLine="630" w:firstLineChars="196"/>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2.项目支出预算安排</w:t>
      </w:r>
      <w:r>
        <w:rPr>
          <w:rFonts w:hint="eastAsia" w:ascii="仿宋_GB2312" w:hAnsi="宋体" w:eastAsia="仿宋_GB2312" w:cs="宋体"/>
          <w:b/>
          <w:kern w:val="0"/>
          <w:sz w:val="32"/>
          <w:szCs w:val="32"/>
        </w:rPr>
        <w:t>2</w:t>
      </w:r>
      <w:r>
        <w:rPr>
          <w:rFonts w:hint="eastAsia" w:ascii="仿宋_GB2312" w:hAnsi="宋体" w:eastAsia="仿宋_GB2312" w:cs="宋体"/>
          <w:b/>
          <w:kern w:val="0"/>
          <w:sz w:val="32"/>
          <w:szCs w:val="32"/>
          <w:lang w:val="en-US" w:eastAsia="zh-CN"/>
        </w:rPr>
        <w:t>46</w:t>
      </w:r>
      <w:r>
        <w:rPr>
          <w:rFonts w:hint="eastAsia" w:ascii="仿宋_GB2312" w:hAnsi="宋体" w:eastAsia="仿宋_GB2312" w:cs="宋体"/>
          <w:b/>
          <w:kern w:val="0"/>
          <w:sz w:val="32"/>
          <w:szCs w:val="32"/>
        </w:rPr>
        <w:t>,</w:t>
      </w:r>
      <w:r>
        <w:rPr>
          <w:rFonts w:hint="eastAsia" w:ascii="仿宋_GB2312" w:hAnsi="宋体" w:eastAsia="仿宋_GB2312" w:cs="宋体"/>
          <w:b/>
          <w:kern w:val="0"/>
          <w:sz w:val="32"/>
          <w:szCs w:val="32"/>
          <w:lang w:val="en-US" w:eastAsia="zh-CN"/>
        </w:rPr>
        <w:t>141</w:t>
      </w:r>
      <w:r>
        <w:rPr>
          <w:rFonts w:hint="eastAsia" w:ascii="仿宋_GB2312" w:hAnsi="仿宋_GB2312" w:eastAsia="仿宋_GB2312" w:cs="仿宋_GB2312"/>
          <w:b/>
          <w:kern w:val="0"/>
          <w:sz w:val="32"/>
          <w:szCs w:val="32"/>
        </w:rPr>
        <w:t>万元。</w:t>
      </w:r>
    </w:p>
    <w:p>
      <w:pPr>
        <w:widowControl/>
        <w:shd w:val="clear" w:color="auto" w:fill="FFFFFF"/>
        <w:spacing w:line="560" w:lineRule="exact"/>
        <w:ind w:firstLine="64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（1）部门运转支出预算1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970</w:t>
      </w:r>
      <w:r>
        <w:rPr>
          <w:rFonts w:hint="eastAsia" w:ascii="仿宋_GB2312" w:hAnsi="仿宋_GB2312" w:eastAsia="仿宋_GB2312" w:cs="仿宋_GB2312"/>
          <w:kern w:val="0"/>
          <w:sz w:val="32"/>
          <w:szCs w:val="32"/>
        </w:rPr>
        <w:t>万元，其中一般公共预算安排</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670</w:t>
      </w:r>
      <w:r>
        <w:rPr>
          <w:rFonts w:hint="eastAsia" w:ascii="仿宋_GB2312" w:hAnsi="仿宋_GB2312" w:eastAsia="仿宋_GB2312" w:cs="仿宋_GB2312"/>
          <w:kern w:val="0"/>
          <w:sz w:val="32"/>
          <w:szCs w:val="32"/>
        </w:rPr>
        <w:t>万元，政府性基金安排300万元。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管委会预算单位支出6,054万元，2017年安排5,779万元，同比增长3%。2017年在宁东企业总部大楼办公的预算单位发生的办公楼租赁费、物业费、水电费等费用由财政统一拨付至投资公司，为保证各预算单位支出核算的完整性，2018年办公楼租赁费等预算均列入各预算单位，因此部门运转支出预算较上年有所增加。</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---办公室、政务中心、宁东镇(含社区)安排各类运转性支出2,398万元；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---党建及监察工作经费521万元；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---规划、环保与监测工作经费1,220万元；经济发展及战略规划工作经费819万元；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---安全生产工作经费232万元；社会事务与医疗卫生工作经费290万元；招商、财政审计、综合执法等工作经费574万元；</w:t>
      </w:r>
    </w:p>
    <w:p>
      <w:pPr>
        <w:widowControl/>
        <w:numPr>
          <w:ilvl w:val="0"/>
          <w:numId w:val="1"/>
        </w:numPr>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宁东双重管理的相关服务部门支出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916</w:t>
      </w:r>
      <w:r>
        <w:rPr>
          <w:rFonts w:hint="eastAsia" w:ascii="仿宋_GB2312" w:hAnsi="仿宋_GB2312" w:eastAsia="仿宋_GB2312" w:cs="仿宋_GB2312"/>
          <w:sz w:val="32"/>
          <w:szCs w:val="32"/>
        </w:rPr>
        <w:t>万元，2017年安排3,378万元，同比增长</w:t>
      </w:r>
      <w:r>
        <w:rPr>
          <w:rFonts w:hint="eastAsia" w:ascii="仿宋_GB2312" w:hAnsi="仿宋_GB2312" w:eastAsia="仿宋_GB2312" w:cs="仿宋_GB2312"/>
          <w:sz w:val="32"/>
          <w:szCs w:val="32"/>
          <w:lang w:val="en-US" w:eastAsia="zh-CN"/>
        </w:rPr>
        <w:t>105</w:t>
      </w:r>
      <w:r>
        <w:rPr>
          <w:rFonts w:hint="eastAsia" w:ascii="仿宋_GB2312" w:hAnsi="仿宋_GB2312" w:eastAsia="仿宋_GB2312" w:cs="仿宋_GB2312"/>
          <w:sz w:val="32"/>
          <w:szCs w:val="32"/>
        </w:rPr>
        <w:t>%。</w:t>
      </w:r>
    </w:p>
    <w:p>
      <w:pPr>
        <w:widowControl/>
        <w:shd w:val="clear" w:color="auto" w:fill="FFFFFF"/>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---安排税务、供电、运管工作经费共计1,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00万元，其中供电局工作经费300万元使用政府性基金安排；</w:t>
      </w:r>
    </w:p>
    <w:p>
      <w:pPr>
        <w:widowControl/>
        <w:shd w:val="clear" w:color="auto" w:fill="FFFFFF"/>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---安排宁东消防经费预算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70万元，其中人员经费1,112万元、各类专项工作经费</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58万元；</w:t>
      </w:r>
    </w:p>
    <w:p>
      <w:pPr>
        <w:widowControl/>
        <w:shd w:val="clear" w:color="auto" w:fill="FFFFFF"/>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---安排宁东公安经费预算</w:t>
      </w:r>
      <w:r>
        <w:rPr>
          <w:rFonts w:hint="eastAsia" w:ascii="仿宋_GB2312" w:hAnsi="仿宋_GB2312" w:eastAsia="仿宋_GB2312" w:cs="仿宋_GB2312"/>
          <w:sz w:val="32"/>
          <w:szCs w:val="32"/>
          <w:lang w:val="en-US" w:eastAsia="zh-CN"/>
        </w:rPr>
        <w:t>1,078</w:t>
      </w:r>
      <w:r>
        <w:rPr>
          <w:rFonts w:hint="eastAsia" w:ascii="仿宋_GB2312" w:hAnsi="仿宋_GB2312" w:eastAsia="仿宋_GB2312" w:cs="仿宋_GB2312"/>
          <w:sz w:val="32"/>
          <w:szCs w:val="32"/>
        </w:rPr>
        <w:t>万元，其中人员经费898万元、各类专项工作经费</w:t>
      </w:r>
      <w:r>
        <w:rPr>
          <w:rFonts w:hint="eastAsia" w:ascii="仿宋_GB2312" w:hAnsi="仿宋_GB2312" w:eastAsia="仿宋_GB2312" w:cs="仿宋_GB2312"/>
          <w:sz w:val="32"/>
          <w:szCs w:val="32"/>
          <w:lang w:val="en-US" w:eastAsia="zh-CN"/>
        </w:rPr>
        <w:t>180</w:t>
      </w:r>
      <w:r>
        <w:rPr>
          <w:rFonts w:hint="eastAsia" w:ascii="仿宋_GB2312" w:hAnsi="仿宋_GB2312" w:eastAsia="仿宋_GB2312" w:cs="仿宋_GB2312"/>
          <w:sz w:val="32"/>
          <w:szCs w:val="32"/>
        </w:rPr>
        <w:t>万元；</w:t>
      </w:r>
    </w:p>
    <w:p>
      <w:pPr>
        <w:widowControl/>
        <w:shd w:val="clear" w:color="auto" w:fill="FFFFFF"/>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---安排宁东交警经费预算3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8万元，其中人员经费255万元、各类专项工作经费</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3万元；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（2）民生专项支出2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942</w:t>
      </w:r>
      <w:r>
        <w:rPr>
          <w:rFonts w:hint="eastAsia" w:ascii="仿宋_GB2312" w:hAnsi="仿宋_GB2312" w:eastAsia="仿宋_GB2312" w:cs="仿宋_GB2312"/>
          <w:sz w:val="32"/>
          <w:szCs w:val="32"/>
        </w:rPr>
        <w:t>万元，其中：一般公共预算支出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42万元，政府性基金安排3,</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A.教育专项支出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60万元：按规定安排学生教师体检、困难学生食宿补助等经费，依据教师支持计划安排教师生活补助、医疗补助等788万元；宁东中小学营养改善项目及宁东中小学计算机教室互动教室等项目1,</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2万元；完全制学校仪器设备购置经费1,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00万元；</w:t>
      </w:r>
      <w:r>
        <w:rPr>
          <w:rFonts w:hint="eastAsia" w:ascii="仿宋_GB2312" w:hAnsi="仿宋_GB2312" w:eastAsia="仿宋_GB2312" w:cs="仿宋_GB2312"/>
          <w:sz w:val="32"/>
          <w:szCs w:val="32"/>
          <w:lang w:eastAsia="zh-CN"/>
        </w:rPr>
        <w:t>其他完全制学校校舍维修及搬迁费用</w:t>
      </w:r>
      <w:r>
        <w:rPr>
          <w:rFonts w:hint="eastAsia" w:ascii="仿宋_GB2312" w:hAnsi="仿宋_GB2312" w:eastAsia="仿宋_GB2312" w:cs="仿宋_GB2312"/>
          <w:sz w:val="32"/>
          <w:szCs w:val="32"/>
          <w:lang w:val="en-US" w:eastAsia="zh-CN"/>
        </w:rPr>
        <w:t>350万元；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B.扶贫支出2,240万元：西吉县搬迁移民取暖及困难补贴90万元、西吉县搬迁居民购房配套资金2,000万元、彭阳县杨坪村定点扶贫支出150万元；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C.卫生专项支出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,800万元：宁东医院新院设备采购费用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,000万元、应急急救诊疗设备和基本公共设备800万元；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D.社保民政及公共卫生支出4,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22万元，主要有：被征地农民养老保险</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00万元，宁东镇区城乡居民养老保险医疗保险等财政补贴1,391万元；民政和低保等政策性补贴1,231万元；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E．棚户区改造支出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万元，其中从政府性基金中安排</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0万元。2017年棚户区改造项目融资配套资金2,600万元、2017年灵新矿棚户区改造项目被拆迁房屋拆迁补偿款及搬迁补助费3,</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F.肉类蔬菜储备等平抑物价专项资金120万元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（3）环保支出8,5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5万元：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---21辆环保清扫车辆采购管委会配套资金5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5万元；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---宁东基地企业挥发性有机物排放点源及审核认定工作经费400万元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---宁东污水处理厂PPP项目补贴7,630万元。根据PPP合作协议、财政可承受能力及项目公司2018年经营预测，暂计划安排PPP项目财政可行性缺口补助7,630万元。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（4）债务还本付息支出4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342</w:t>
      </w:r>
      <w:r>
        <w:rPr>
          <w:rFonts w:hint="eastAsia" w:ascii="仿宋_GB2312" w:hAnsi="仿宋_GB2312" w:eastAsia="仿宋_GB2312" w:cs="仿宋_GB2312"/>
          <w:sz w:val="32"/>
          <w:szCs w:val="32"/>
        </w:rPr>
        <w:t>万元，较2017年安排39,636万元，同比增长</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---2018年到期债务还本支出12,708万元。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2017年本级到期债务本金119,934万元，其中通过置换债券安排107,226万元；未纳入债务系统的银行贷款还本12,708万元；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---截止2016年底国开、农发基金余额10.48亿元，2018年安排基金还本支出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685</w:t>
      </w:r>
      <w:r>
        <w:rPr>
          <w:rFonts w:hint="eastAsia" w:ascii="仿宋_GB2312" w:hAnsi="仿宋_GB2312" w:eastAsia="仿宋_GB2312" w:cs="仿宋_GB2312"/>
          <w:sz w:val="32"/>
          <w:szCs w:val="32"/>
        </w:rPr>
        <w:t>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---2018年利息支出2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949</w:t>
      </w:r>
      <w:r>
        <w:rPr>
          <w:rFonts w:hint="eastAsia" w:ascii="仿宋_GB2312" w:hAnsi="仿宋_GB2312" w:eastAsia="仿宋_GB2312" w:cs="仿宋_GB2312"/>
          <w:sz w:val="32"/>
          <w:szCs w:val="32"/>
        </w:rPr>
        <w:t>万元，主要包括银行贷款利息10,473万元；政府债券利息8,555万元及置换债利息5,293万元；国开基金、农发基金利息1,368万元；2018年计划融资7亿元，利率按3.6%测算，计划付息1,260万元。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（5）基地公用设施运行支出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766</w:t>
      </w:r>
      <w:r>
        <w:rPr>
          <w:rFonts w:hint="eastAsia" w:ascii="仿宋_GB2312" w:hAnsi="仿宋_GB2312" w:eastAsia="仿宋_GB2312" w:cs="仿宋_GB2312"/>
          <w:sz w:val="32"/>
          <w:szCs w:val="32"/>
        </w:rPr>
        <w:t>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---宁东镇区及工业园区卫生、市政设施管护、保洁、道路养护等支出3,</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---宁东镇区、工业园区及307国道黎黄路至古窑子段防护林绿化养护费用2,280万元；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---宁东基地展示中心及新展示中心运营、房租及四楼会议中心运营费486万元。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（6）基础设施建设及相关支出</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416</w:t>
      </w:r>
      <w:r>
        <w:rPr>
          <w:rFonts w:hint="eastAsia" w:ascii="仿宋_GB2312" w:hAnsi="仿宋_GB2312" w:eastAsia="仿宋_GB2312" w:cs="仿宋_GB2312"/>
          <w:sz w:val="32"/>
          <w:szCs w:val="32"/>
        </w:rPr>
        <w:t>万元，其中一般公共预算安排</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648</w:t>
      </w:r>
      <w:r>
        <w:rPr>
          <w:rFonts w:hint="eastAsia" w:ascii="仿宋_GB2312" w:hAnsi="仿宋_GB2312" w:eastAsia="仿宋_GB2312" w:cs="仿宋_GB2312"/>
          <w:sz w:val="32"/>
          <w:szCs w:val="32"/>
        </w:rPr>
        <w:t>万元，政府性基金安排</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8万元。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---2016-2017年宁东能化公司重点绿化提升及2016年生态绿化提升改造3,</w:t>
      </w:r>
      <w:r>
        <w:rPr>
          <w:rFonts w:hint="eastAsia" w:ascii="仿宋_GB2312" w:hAnsi="仿宋_GB2312" w:eastAsia="仿宋_GB2312" w:cs="仿宋_GB2312"/>
          <w:sz w:val="32"/>
          <w:szCs w:val="32"/>
          <w:lang w:val="en-US" w:eastAsia="zh-CN"/>
        </w:rPr>
        <w:t>776</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年度宁东生态绿化提升改造环境整治工程款</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val="en-US" w:eastAsia="zh-CN"/>
        </w:rPr>
        <w:t>2018年环保整治项目1,000万元，</w:t>
      </w:r>
      <w:r>
        <w:rPr>
          <w:rFonts w:hint="eastAsia" w:ascii="仿宋_GB2312" w:hAnsi="仿宋_GB2312" w:eastAsia="仿宋_GB2312" w:cs="仿宋_GB2312"/>
          <w:sz w:val="32"/>
          <w:szCs w:val="32"/>
        </w:rPr>
        <w:t>合计</w:t>
      </w:r>
      <w:r>
        <w:rPr>
          <w:rFonts w:hint="eastAsia" w:ascii="仿宋_GB2312" w:hAnsi="仿宋_GB2312" w:eastAsia="仿宋_GB2312" w:cs="仿宋_GB2312"/>
          <w:sz w:val="32"/>
          <w:szCs w:val="32"/>
          <w:lang w:val="en-US" w:eastAsia="zh-CN"/>
        </w:rPr>
        <w:t>12,276</w:t>
      </w:r>
      <w:r>
        <w:rPr>
          <w:rFonts w:hint="eastAsia" w:ascii="仿宋_GB2312" w:hAnsi="仿宋_GB2312" w:eastAsia="仿宋_GB2312" w:cs="仿宋_GB2312"/>
          <w:sz w:val="32"/>
          <w:szCs w:val="32"/>
        </w:rPr>
        <w:t>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---安排政府投资项目建设资金</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rPr>
        <w:t>万元（其中：一般公共预算安排</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372</w:t>
      </w:r>
      <w:r>
        <w:rPr>
          <w:rFonts w:hint="eastAsia" w:ascii="仿宋_GB2312" w:hAnsi="仿宋_GB2312" w:eastAsia="仿宋_GB2312" w:cs="仿宋_GB2312"/>
          <w:sz w:val="32"/>
          <w:szCs w:val="32"/>
        </w:rPr>
        <w:t>万元，政府性基金安排</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8万元），主要用于2018年新开工建设项目资金、</w:t>
      </w:r>
      <w:r>
        <w:rPr>
          <w:rFonts w:hint="eastAsia" w:ascii="仿宋_GB2312" w:hAnsi="仿宋_GB2312" w:eastAsia="仿宋_GB2312" w:cs="仿宋_GB2312"/>
          <w:sz w:val="32"/>
          <w:szCs w:val="32"/>
          <w:lang w:eastAsia="zh-CN"/>
        </w:rPr>
        <w:t>在建工程项目资金、</w:t>
      </w:r>
      <w:r>
        <w:rPr>
          <w:rFonts w:hint="eastAsia" w:ascii="仿宋_GB2312" w:hAnsi="仿宋_GB2312" w:eastAsia="仿宋_GB2312" w:cs="仿宋_GB2312"/>
          <w:sz w:val="32"/>
          <w:szCs w:val="32"/>
        </w:rPr>
        <w:t>解决2011年以来宁东已完工项目尾款、质保金及劳保基金等</w:t>
      </w:r>
      <w:r>
        <w:rPr>
          <w:rFonts w:hint="eastAsia" w:ascii="仿宋_GB2312" w:hAnsi="仿宋_GB2312" w:eastAsia="仿宋_GB2312" w:cs="仿宋_GB2312"/>
          <w:sz w:val="32"/>
          <w:szCs w:val="32"/>
          <w:lang w:eastAsia="zh-CN"/>
        </w:rPr>
        <w:t>。</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（7）中介机构服务费等政府购买服务支出2,180万元。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---安排战略规划局规划编制费1,080万元，主要用于支付东湾创业园修建性详细规划、灵新矿棚户区改造原址区域修建性详细规划等规划编制费；</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---安排规土局核心区国土资源信息化项目经费300万元；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---安排政务中心“多评合一”等费用700万元。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---安排环保局环评规划评估咨询服务费100万元，主要用于支付宁东环境保护条例、煤化工主要污染物排放执行标准、宁东基地核心区投产项目环境保护后评估及宁东基地二氧化碳综合利用规划费用；</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（8）宁东基地科技创新及促进产业发展支出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769</w:t>
      </w:r>
      <w:r>
        <w:rPr>
          <w:rFonts w:hint="eastAsia" w:ascii="仿宋_GB2312" w:hAnsi="仿宋_GB2312" w:eastAsia="仿宋_GB2312" w:cs="仿宋_GB2312"/>
          <w:sz w:val="32"/>
          <w:szCs w:val="32"/>
        </w:rPr>
        <w:t>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A.科技创新支出2,572万元。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---安排循环院科技补助性资金2,072万元，用于促进中小企业发展和科技创新；</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---安排经发局2017年节能降耗及工业企业技术改造奖励资金500万元。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B.低成本化园区建设支出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527</w:t>
      </w:r>
      <w:r>
        <w:rPr>
          <w:rFonts w:hint="eastAsia" w:ascii="仿宋_GB2312" w:hAnsi="仿宋_GB2312" w:eastAsia="仿宋_GB2312" w:cs="仿宋_GB2312"/>
          <w:sz w:val="32"/>
          <w:szCs w:val="32"/>
        </w:rPr>
        <w:t>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---建设低成本园区，安排低成本化园区项目资金1,100万元，落实宁东基地低成本园区建设要求，促进宁东工业平稳增长；</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---西部创业公司2017年运价补贴27万元；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---其他低成本化园区建设资金1,</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C.招商奖励支出1,000万元。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---为扩大政策优势，吸引企业落户宁东，安排项目落户奖励500万元、高管人才奖励与租房补贴资金500万元。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D.促进产业发展支出3,670万元。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---安排经发局促进双创开展，落实工业企业扶持奖励资金670万元；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---西部煤炭交易中心项目资金1,000万元。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---安排科创公司中小微企业创业创新专项资金2,000万元。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（9）对委属国有企业注资74,000万元。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增加宁东投资公司注册资金70,000万元，其中40,000万元用于对宁夏银行投资参股，30,000万元主要发挥财政引导作用，通过对重点新兴产业的投资，撬动社会资本投入。该项资金使用公共预算安排68,491万元，使用国有资本经营预算安排1,509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---增加宁东科技创业投资有限公司注册本金4,000万元。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（10）征地拆迁补偿支出2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621</w:t>
      </w:r>
      <w:r>
        <w:rPr>
          <w:rFonts w:hint="eastAsia" w:ascii="仿宋_GB2312" w:hAnsi="仿宋_GB2312" w:eastAsia="仿宋_GB2312" w:cs="仿宋_GB2312"/>
          <w:sz w:val="32"/>
          <w:szCs w:val="32"/>
        </w:rPr>
        <w:t>万元，均使用政府性基金安排。</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---收回国有建设用地费用1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---宁东拆迁营业房安置购房尾款及临时安置费1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862万元、营业房拆迁户停产停业损失费1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508万元；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---青银高速增设的两座立交桥、古窑子新出入口和国道307及其连接线、鸳冯公路改扩建等政府投资建设项目、在宁东基地投资企业征地等征地拆迁补偿费用7</w:t>
      </w:r>
      <w:r>
        <w:rPr>
          <w:rFonts w:hint="eastAsia" w:ascii="仿宋_GB2312" w:hAnsi="仿宋_GB2312" w:eastAsia="仿宋_GB2312" w:cs="仿宋_GB2312"/>
          <w:sz w:val="32"/>
          <w:szCs w:val="32"/>
          <w:lang w:val="en-US" w:eastAsia="zh-CN"/>
        </w:rPr>
        <w:t>,851</w:t>
      </w:r>
      <w:r>
        <w:rPr>
          <w:rFonts w:hint="eastAsia" w:ascii="仿宋_GB2312" w:hAnsi="仿宋_GB2312" w:eastAsia="仿宋_GB2312" w:cs="仿宋_GB2312"/>
          <w:sz w:val="32"/>
          <w:szCs w:val="32"/>
        </w:rPr>
        <w:t>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（11）预留资金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,000万元，主要用于调整工资和社保调标、道路水毁抢修、管委会指令性等应急工程等。</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（12）预备费4,600万元，根据《新预算法》规定安排当年本级公共预算支出总额的1%-3%，用于突发事件应急资金需要以及其他未预见性支出。</w:t>
      </w:r>
    </w:p>
    <w:p>
      <w:pPr>
        <w:spacing w:line="56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（三）政府债务预算收支安排</w:t>
      </w:r>
    </w:p>
    <w:p>
      <w:pPr>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体现全口径预算管理要求，针对宁东基地发展建设的实际情况，我局将投融资预算管理作为财政预算管理重要方面，逐步安排和保障基地重点项目建设任务的实施。根据目前掌握的项目准备情况和相关数据，提出了2017年债务及投融资预算安排建议。</w:t>
      </w:r>
    </w:p>
    <w:p>
      <w:pPr>
        <w:numPr>
          <w:ilvl w:val="0"/>
          <w:numId w:val="2"/>
        </w:numPr>
        <w:spacing w:line="560" w:lineRule="exact"/>
        <w:ind w:firstLine="660"/>
        <w:rPr>
          <w:rFonts w:ascii="仿宋_GB2312" w:hAnsi="仿宋_GB2312" w:eastAsia="仿宋_GB2312" w:cs="仿宋_GB2312"/>
          <w:b/>
          <w:sz w:val="32"/>
          <w:szCs w:val="32"/>
        </w:rPr>
      </w:pPr>
      <w:r>
        <w:rPr>
          <w:rFonts w:hint="eastAsia" w:ascii="仿宋_GB2312" w:hAnsi="仿宋_GB2312" w:eastAsia="仿宋_GB2312" w:cs="仿宋_GB2312"/>
          <w:b/>
          <w:sz w:val="32"/>
          <w:szCs w:val="32"/>
        </w:rPr>
        <w:t>新增债券预算</w:t>
      </w:r>
    </w:p>
    <w:p>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
          <w:sz w:val="32"/>
          <w:szCs w:val="32"/>
        </w:rPr>
        <w:t>新债券收入：</w:t>
      </w:r>
      <w:r>
        <w:rPr>
          <w:rFonts w:hint="eastAsia" w:ascii="仿宋_GB2312" w:hAnsi="仿宋_GB2312" w:eastAsia="仿宋_GB2312" w:cs="仿宋_GB2312"/>
          <w:bCs/>
          <w:sz w:val="32"/>
          <w:szCs w:val="32"/>
        </w:rPr>
        <w:t>预计自治区地方债券资金7亿元。</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b/>
          <w:sz w:val="32"/>
          <w:szCs w:val="32"/>
        </w:rPr>
        <w:t>债务预算支出：</w:t>
      </w:r>
      <w:r>
        <w:rPr>
          <w:rFonts w:hint="eastAsia" w:ascii="仿宋_GB2312" w:hAnsi="仿宋_GB2312" w:eastAsia="仿宋_GB2312" w:cs="仿宋_GB2312"/>
          <w:sz w:val="32"/>
          <w:szCs w:val="32"/>
        </w:rPr>
        <w:t>经与相关部门沟通，结合宁东基地在建项目情况，对于7亿元地方政府债券资金，初步建议使用方向为：（1）宁东医院一期建设安排1亿元</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（2）宁东完全制学校及幼儿园建设安排1.3亿元</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（3）市政道路及园区基础设施建设项目2.45亿元</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（4）宁东基地镇区等项目安排1.25亿元</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（5）保障房、生态及环境保护、信息化项目等其他建设项目1亿元。</w:t>
      </w:r>
    </w:p>
    <w:p>
      <w:pPr>
        <w:numPr>
          <w:ilvl w:val="0"/>
          <w:numId w:val="2"/>
        </w:numPr>
        <w:spacing w:line="560" w:lineRule="exact"/>
        <w:ind w:firstLine="660"/>
        <w:rPr>
          <w:rFonts w:ascii="仿宋_GB2312" w:hAnsi="仿宋_GB2312" w:eastAsia="仿宋_GB2312" w:cs="仿宋_GB2312"/>
          <w:b/>
          <w:sz w:val="32"/>
          <w:szCs w:val="32"/>
        </w:rPr>
      </w:pPr>
      <w:r>
        <w:rPr>
          <w:rFonts w:hint="eastAsia" w:ascii="仿宋_GB2312" w:hAnsi="仿宋_GB2312" w:eastAsia="仿宋_GB2312" w:cs="仿宋_GB2312"/>
          <w:b/>
          <w:sz w:val="32"/>
          <w:szCs w:val="32"/>
        </w:rPr>
        <w:t>置换债券计划情况</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2018年，管委会到期政府债券49,226万元，其中：2013年一般债券35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000万元，2015年一般债券4,200万元，2015年置换债券10,026万元。经与财政厅沟通，可通过转换债券安排，本级财政不需要安排资金。</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2014年以前民惠苑棚户区改造贷款5.8亿元，按要求2018年必须完成政府债券置换工作。</w:t>
      </w:r>
    </w:p>
    <w:p>
      <w:pPr>
        <w:spacing w:line="560" w:lineRule="exact"/>
        <w:ind w:firstLine="645"/>
        <w:rPr>
          <w:rFonts w:ascii="仿宋_GB2312" w:hAnsi="仿宋_GB2312" w:eastAsia="仿宋_GB2312" w:cs="仿宋_GB2312"/>
          <w:b/>
          <w:sz w:val="32"/>
          <w:szCs w:val="32"/>
        </w:rPr>
      </w:pPr>
      <w:r>
        <w:rPr>
          <w:rFonts w:hint="eastAsia" w:ascii="仿宋_GB2312" w:hAnsi="仿宋_GB2312" w:eastAsia="仿宋_GB2312" w:cs="仿宋_GB2312"/>
          <w:sz w:val="32"/>
          <w:szCs w:val="32"/>
        </w:rPr>
        <w:t>两项合计107,226万元。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三、2018年重点工作</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楷体" w:hAnsi="楷体" w:eastAsia="楷体" w:cs="仿宋_GB2312"/>
          <w:sz w:val="32"/>
          <w:szCs w:val="32"/>
        </w:rPr>
        <w:t>围绕创新驱动发展战略，推动低成本化园区建设。</w:t>
      </w:r>
      <w:r>
        <w:rPr>
          <w:rFonts w:hint="eastAsia" w:ascii="仿宋_GB2312" w:hAnsi="仿宋_GB2312" w:eastAsia="仿宋_GB2312" w:cs="仿宋_GB2312"/>
          <w:sz w:val="32"/>
          <w:szCs w:val="32"/>
        </w:rPr>
        <w:t>一是按照管委会低成本化园区构建要求，安排3,062万元专项资金用于低成本化园区项目，采取补贴奖励等方式，切实降低园区企业生产要素成本；二是落实科技创新发展战略，安排沿黄科技改革试验区等科技创新和人才培养专项资金2,000万元，2017年节能降耗及工业企业技术改造奖励资金500万元；三是落实宁东招商引资优惠政策，安排1,000万元用于补贴相关企业；四是投资公司7亿元主要发挥财政引导作用，通过对重点新兴产业的投资，撬动社会资本投入；五是重点支持中小企业技术发展，提高科技对企业与园区发展的推动作用；进一步构建与完善中小企业服务体系，支持运用投资、科技孵化等形式支持中小企业发展，支持技术人才创新创业，计划安排4,000万元科技创业公司注册资本金，2,000万元企业创新创业资金。</w:t>
      </w:r>
    </w:p>
    <w:p>
      <w:pPr>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楷体" w:hAnsi="楷体" w:eastAsia="楷体" w:cs="仿宋_GB2312"/>
          <w:sz w:val="32"/>
          <w:szCs w:val="32"/>
        </w:rPr>
        <w:t>调整优化财政支出结构，有效保障重点领域支出需要。</w:t>
      </w:r>
      <w:r>
        <w:rPr>
          <w:rFonts w:hint="eastAsia" w:ascii="仿宋_GB2312" w:hAnsi="仿宋_GB2312" w:eastAsia="仿宋_GB2312" w:cs="仿宋_GB2312"/>
          <w:sz w:val="32"/>
          <w:szCs w:val="32"/>
        </w:rPr>
        <w:t>更加注重优化结构、用好增量、激活存量。安排2.53亿元专项保障扶贫、教育、社保、医疗、保障房等关系群众切身利益的民生支出，切实增强广大人民群众的获得感。一是安排宁东镇被征地农民养老保险及医疗保险等支出2,340万元，解决失地农民养老的后顾之忧；安排1,300万元用于宁东中小学电子化教室建设与学生营养改善计划，进一步改进宁东中小学办学条件；二是重点支持自治区六十大庆重点项目建设，安排1,800万元完全制中小学教学仪器及宿社设施、7,800万元用于宁东医院及公用卫生中心设施医用设备采购；三是安排西吉县移民搬迁等扶贫资金2,240万元，2017年等棚改项目融资配套资金及灵新矿房屋拆迁补助费6,270万元。三是大力压缩一般性支出，继续落实八项规定要求，严格控制“三公”经费，严肃财政纪律。</w:t>
      </w:r>
    </w:p>
    <w:p>
      <w:pPr>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楷体" w:hAnsi="楷体" w:eastAsia="楷体" w:cs="仿宋_GB2312"/>
          <w:sz w:val="32"/>
          <w:szCs w:val="32"/>
        </w:rPr>
        <w:t>确保完成年度预算收支预期目标，继续加强财政管理。</w:t>
      </w:r>
      <w:r>
        <w:rPr>
          <w:rFonts w:hint="eastAsia" w:ascii="仿宋_GB2312" w:hAnsi="仿宋_GB2312" w:eastAsia="仿宋_GB2312" w:cs="仿宋_GB2312"/>
          <w:sz w:val="32"/>
          <w:szCs w:val="32"/>
        </w:rPr>
        <w:t>一是加强综合治税管理，推动税务部门和其他征管部门依法征管、应收尽收，确保年初既定的公共预算收入增长12%的目标实现。二是</w:t>
      </w:r>
      <w:r>
        <w:rPr>
          <w:rFonts w:hint="eastAsia" w:ascii="仿宋_GB2312" w:hAnsi="仿宋_GB2312" w:eastAsia="仿宋_GB2312" w:cs="仿宋_GB2312"/>
          <w:bCs/>
          <w:color w:val="000000"/>
          <w:kern w:val="0"/>
          <w:sz w:val="32"/>
          <w:szCs w:val="32"/>
        </w:rPr>
        <w:t>进一</w:t>
      </w:r>
      <w:r>
        <w:rPr>
          <w:rFonts w:hint="eastAsia" w:ascii="仿宋_GB2312" w:eastAsia="仿宋_GB2312"/>
          <w:sz w:val="32"/>
          <w:szCs w:val="32"/>
        </w:rPr>
        <w:t>步深化国库集中支付制度改革，全面推行电子化、网络化支付，推进非税收入电子化管理。</w:t>
      </w:r>
      <w:r>
        <w:rPr>
          <w:rFonts w:hint="eastAsia" w:ascii="仿宋_GB2312" w:hAnsi="仿宋_GB2312" w:eastAsia="仿宋_GB2312" w:cs="仿宋_GB2312"/>
          <w:sz w:val="32"/>
          <w:szCs w:val="32"/>
        </w:rPr>
        <w:t>三是加强财政资金统筹，对于预算执行进度缓慢或预计年内难以执行的资金，避免资金沉淀，提高财政资金运行效率。四是继续加大财政存量资金管理，对当年预算未能执行的项目资金、部门结余资金及连续两年未用完的专项结转资金，由管委会全部收回统筹使用，提高资金使用效率。五是认真做好预决算信息公开，在政府门户网站全面公开政府预决算、部门预决算、“三公”经费、各类补贴资金等信息。</w:t>
      </w:r>
    </w:p>
    <w:p>
      <w:pPr>
        <w:spacing w:line="560" w:lineRule="exact"/>
        <w:ind w:firstLine="660"/>
        <w:rPr>
          <w:rFonts w:hint="eastAsia" w:ascii="仿宋_GB2312" w:hAnsi="仿宋_GB2312" w:eastAsia="仿宋_GB2312" w:cs="仿宋_GB2312"/>
          <w:sz w:val="32"/>
          <w:szCs w:val="32"/>
        </w:rPr>
      </w:pPr>
      <w:r>
        <w:rPr>
          <w:rFonts w:hint="eastAsia" w:ascii="楷体" w:hAnsi="楷体" w:eastAsia="楷体" w:cs="仿宋_GB2312"/>
          <w:sz w:val="32"/>
          <w:szCs w:val="32"/>
        </w:rPr>
        <w:t>（五）防范风险，强化地方政府债务管理，提高财政可持续水平</w:t>
      </w:r>
      <w:r>
        <w:rPr>
          <w:rFonts w:hint="eastAsia" w:ascii="仿宋_GB2312" w:hAnsi="仿宋_GB2312" w:eastAsia="仿宋_GB2312" w:cs="仿宋_GB2312"/>
          <w:sz w:val="32"/>
          <w:szCs w:val="32"/>
        </w:rPr>
        <w:t>。一是继续加大地方政府债务争取力度。计划全年争取自治区安排地方政府债券7亿元，重点用于基地基础设施等重点政府投资项目建设；二是严格政府债务限额管理。严格执行地方政府债务限额管理要求，强化债务预算管理，将债务预算纳入财政预算范围，提高债务预算管理的规范性；三是运用好债券置换政策，妥善处理存量政府债务。将我委可纳入置换债券政策的存量债务全部进行债券置换，以降低债务成本，节约财政资金。四是进一步做好政府债务监督工作。加强地方债务风险评估和预警；五是稳步推动平台公司市场化转型。根据地方政府融资平台公司管理要求，进一步探索投资公司、能化公司服务基地发展的方式，推动公司市场化转型。</w:t>
      </w:r>
    </w:p>
    <w:p>
      <w:pPr>
        <w:spacing w:line="560" w:lineRule="exact"/>
        <w:ind w:firstLine="660"/>
        <w:rPr>
          <w:rFonts w:hint="eastAsia" w:ascii="黑体" w:hAnsi="黑体" w:eastAsia="黑体" w:cs="黑体"/>
          <w:b w:val="0"/>
          <w:bCs w:val="0"/>
          <w:kern w:val="0"/>
          <w:sz w:val="32"/>
          <w:szCs w:val="32"/>
          <w:lang w:eastAsia="zh-CN"/>
        </w:rPr>
      </w:pPr>
      <w:r>
        <w:rPr>
          <w:rFonts w:hint="eastAsia" w:ascii="黑体" w:hAnsi="黑体" w:eastAsia="黑体" w:cs="黑体"/>
          <w:b w:val="0"/>
          <w:bCs w:val="0"/>
          <w:sz w:val="32"/>
          <w:szCs w:val="32"/>
          <w:lang w:eastAsia="zh-CN"/>
        </w:rPr>
        <w:t>四、</w:t>
      </w:r>
      <w:r>
        <w:rPr>
          <w:rFonts w:hint="eastAsia" w:ascii="黑体" w:hAnsi="黑体" w:eastAsia="黑体" w:cs="黑体"/>
          <w:b w:val="0"/>
          <w:bCs w:val="0"/>
          <w:kern w:val="0"/>
          <w:sz w:val="32"/>
          <w:szCs w:val="32"/>
          <w:lang w:eastAsia="zh-CN"/>
        </w:rPr>
        <w:t>名词解释</w:t>
      </w:r>
    </w:p>
    <w:p>
      <w:pPr>
        <w:widowControl/>
        <w:numPr>
          <w:ilvl w:val="0"/>
          <w:numId w:val="0"/>
        </w:numPr>
        <w:wordWrap/>
        <w:adjustRightInd/>
        <w:snapToGrid/>
        <w:spacing w:before="0" w:line="240" w:lineRule="auto"/>
        <w:ind w:right="0" w:firstLine="643" w:firstLineChars="200"/>
        <w:jc w:val="left"/>
        <w:textAlignment w:val="auto"/>
        <w:outlineLvl w:val="9"/>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bCs w:val="0"/>
          <w:kern w:val="0"/>
          <w:sz w:val="32"/>
          <w:szCs w:val="32"/>
          <w:lang w:val="en-US" w:eastAsia="zh-CN"/>
        </w:rPr>
        <w:t>一般公共预算：</w:t>
      </w:r>
      <w:r>
        <w:rPr>
          <w:rFonts w:hint="eastAsia" w:ascii="仿宋_GB2312" w:hAnsi="仿宋_GB2312" w:eastAsia="仿宋_GB2312" w:cs="仿宋_GB2312"/>
          <w:bCs/>
          <w:kern w:val="0"/>
          <w:sz w:val="32"/>
          <w:szCs w:val="32"/>
          <w:lang w:val="en-US" w:eastAsia="zh-CN"/>
        </w:rPr>
        <w:t>是对以税收为主体的财政收入，安排用于保障和改善民生、推动经济社会发展、维护国家安全、维持国家机构正常运转等方面的收支预算。</w:t>
      </w:r>
    </w:p>
    <w:p>
      <w:pPr>
        <w:widowControl/>
        <w:numPr>
          <w:ilvl w:val="0"/>
          <w:numId w:val="0"/>
        </w:numPr>
        <w:wordWrap/>
        <w:adjustRightInd/>
        <w:snapToGrid/>
        <w:spacing w:before="0" w:line="240" w:lineRule="auto"/>
        <w:ind w:right="0" w:firstLine="643" w:firstLineChars="200"/>
        <w:jc w:val="left"/>
        <w:textAlignment w:val="auto"/>
        <w:outlineLvl w:val="9"/>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bCs w:val="0"/>
          <w:kern w:val="0"/>
          <w:sz w:val="32"/>
          <w:szCs w:val="32"/>
          <w:lang w:val="en-US" w:eastAsia="zh-CN"/>
        </w:rPr>
        <w:t>政府性基金预算：</w:t>
      </w:r>
      <w:r>
        <w:rPr>
          <w:rFonts w:hint="eastAsia" w:ascii="仿宋_GB2312" w:hAnsi="仿宋_GB2312" w:eastAsia="仿宋_GB2312" w:cs="仿宋_GB2312"/>
          <w:bCs/>
          <w:kern w:val="0"/>
          <w:sz w:val="32"/>
          <w:szCs w:val="32"/>
          <w:lang w:val="en-US" w:eastAsia="zh-CN"/>
        </w:rPr>
        <w:t>是对依照法律、行政法规的规定在一定期限内向特定对象征收、收取或者以其他方式筹集的资金，专项用于特定公共事业发展的收支预算。</w:t>
      </w:r>
    </w:p>
    <w:p>
      <w:pPr>
        <w:widowControl/>
        <w:numPr>
          <w:ilvl w:val="0"/>
          <w:numId w:val="0"/>
        </w:numPr>
        <w:wordWrap/>
        <w:adjustRightInd/>
        <w:snapToGrid/>
        <w:spacing w:before="0" w:line="240" w:lineRule="auto"/>
        <w:ind w:right="0" w:firstLine="643" w:firstLineChars="200"/>
        <w:jc w:val="left"/>
        <w:textAlignment w:val="auto"/>
        <w:outlineLvl w:val="9"/>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bCs w:val="0"/>
          <w:kern w:val="0"/>
          <w:sz w:val="32"/>
          <w:szCs w:val="32"/>
          <w:lang w:val="en-US" w:eastAsia="zh-CN"/>
        </w:rPr>
        <w:t>国有资本经营预算：</w:t>
      </w:r>
      <w:r>
        <w:rPr>
          <w:rFonts w:hint="eastAsia" w:ascii="仿宋_GB2312" w:hAnsi="仿宋_GB2312" w:eastAsia="仿宋_GB2312" w:cs="仿宋_GB2312"/>
          <w:bCs/>
          <w:kern w:val="0"/>
          <w:sz w:val="32"/>
          <w:szCs w:val="32"/>
          <w:lang w:val="en-US" w:eastAsia="zh-CN"/>
        </w:rPr>
        <w:t>是对国有资本收益作出支出安排的收支预算。</w:t>
      </w:r>
    </w:p>
    <w:p>
      <w:pPr>
        <w:widowControl/>
        <w:numPr>
          <w:ilvl w:val="0"/>
          <w:numId w:val="0"/>
        </w:numPr>
        <w:wordWrap/>
        <w:adjustRightInd/>
        <w:snapToGrid/>
        <w:spacing w:before="0" w:line="240" w:lineRule="auto"/>
        <w:ind w:right="0" w:firstLine="643" w:firstLineChars="200"/>
        <w:jc w:val="left"/>
        <w:textAlignment w:val="auto"/>
        <w:outlineLvl w:val="9"/>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bCs w:val="0"/>
          <w:kern w:val="0"/>
          <w:sz w:val="32"/>
          <w:szCs w:val="32"/>
          <w:lang w:val="en-US" w:eastAsia="zh-CN"/>
        </w:rPr>
        <w:t>“三公经费”：</w:t>
      </w:r>
      <w:r>
        <w:rPr>
          <w:rFonts w:hint="eastAsia" w:ascii="仿宋_GB2312" w:hAnsi="仿宋_GB2312" w:eastAsia="仿宋_GB2312" w:cs="仿宋_GB2312"/>
          <w:bCs/>
          <w:kern w:val="0"/>
          <w:sz w:val="32"/>
          <w:szCs w:val="32"/>
          <w:lang w:val="en-US" w:eastAsia="zh-CN"/>
        </w:rPr>
        <w:t>是指因公出国（境）费、公务车运行维护费、业务招待费。</w:t>
      </w:r>
    </w:p>
    <w:p>
      <w:pPr>
        <w:widowControl/>
        <w:numPr>
          <w:ilvl w:val="0"/>
          <w:numId w:val="0"/>
        </w:numPr>
        <w:wordWrap/>
        <w:adjustRightInd/>
        <w:snapToGrid/>
        <w:spacing w:before="0" w:line="240" w:lineRule="auto"/>
        <w:ind w:right="0" w:firstLine="643" w:firstLineChars="200"/>
        <w:jc w:val="left"/>
        <w:textAlignment w:val="auto"/>
        <w:outlineLvl w:val="9"/>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bCs w:val="0"/>
          <w:kern w:val="0"/>
          <w:sz w:val="32"/>
          <w:szCs w:val="32"/>
          <w:lang w:val="en-US" w:eastAsia="zh-CN"/>
        </w:rPr>
        <w:t>一般性转移支付：</w:t>
      </w:r>
      <w:r>
        <w:rPr>
          <w:rFonts w:hint="eastAsia" w:ascii="仿宋_GB2312" w:hAnsi="仿宋_GB2312" w:eastAsia="仿宋_GB2312" w:cs="仿宋_GB2312"/>
          <w:bCs/>
          <w:kern w:val="0"/>
          <w:sz w:val="32"/>
          <w:szCs w:val="32"/>
          <w:lang w:val="en-US" w:eastAsia="zh-CN"/>
        </w:rPr>
        <w:t>是指中央对地方、地方上级上级政府对下级政府进行的为均衡地区间基本财力、由下级政府统筹安排使用的转移支付。</w:t>
      </w:r>
    </w:p>
    <w:p>
      <w:pPr>
        <w:spacing w:line="560" w:lineRule="exact"/>
        <w:ind w:firstLine="66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val="0"/>
          <w:kern w:val="0"/>
          <w:sz w:val="32"/>
          <w:szCs w:val="32"/>
          <w:lang w:val="en-US" w:eastAsia="zh-CN"/>
        </w:rPr>
        <w:t>专项转移支付：</w:t>
      </w:r>
      <w:r>
        <w:rPr>
          <w:rFonts w:hint="eastAsia" w:ascii="仿宋_GB2312" w:hAnsi="仿宋_GB2312" w:eastAsia="仿宋_GB2312" w:cs="仿宋_GB2312"/>
          <w:bCs/>
          <w:kern w:val="0"/>
          <w:sz w:val="32"/>
          <w:szCs w:val="32"/>
          <w:lang w:val="en-US" w:eastAsia="zh-CN"/>
        </w:rPr>
        <w:t>是指上级政府为实现特定政策目标补助给下级政府的专项支出，下级政府应当按照上级政府规定的用途使用资金，也就是通常意义上的“专款”。</w:t>
      </w:r>
    </w:p>
    <w:p/>
    <w:sectPr>
      <w:footerReference r:id="rId3" w:type="default"/>
      <w:footerReference r:id="rId4" w:type="even"/>
      <w:pgSz w:w="11907" w:h="16840"/>
      <w:pgMar w:top="1440" w:right="1474" w:bottom="1191" w:left="1701" w:header="851" w:footer="992" w:gutter="0"/>
      <w:cols w:space="1026"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北魏楷书繁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92506B"/>
    <w:multiLevelType w:val="singleLevel"/>
    <w:tmpl w:val="9492506B"/>
    <w:lvl w:ilvl="0" w:tentative="0">
      <w:start w:val="2"/>
      <w:numFmt w:val="upperLetter"/>
      <w:lvlText w:val="%1."/>
      <w:lvlJc w:val="left"/>
      <w:pPr>
        <w:tabs>
          <w:tab w:val="left" w:pos="312"/>
        </w:tabs>
      </w:pPr>
    </w:lvl>
  </w:abstractNum>
  <w:abstractNum w:abstractNumId="1">
    <w:nsid w:val="5868EE0C"/>
    <w:multiLevelType w:val="singleLevel"/>
    <w:tmpl w:val="5868EE0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8B"/>
    <w:rsid w:val="0013738B"/>
    <w:rsid w:val="001879DC"/>
    <w:rsid w:val="002826D0"/>
    <w:rsid w:val="00285A37"/>
    <w:rsid w:val="002877B5"/>
    <w:rsid w:val="00296DBE"/>
    <w:rsid w:val="00414E85"/>
    <w:rsid w:val="00432D6A"/>
    <w:rsid w:val="004619B1"/>
    <w:rsid w:val="004E679A"/>
    <w:rsid w:val="00500366"/>
    <w:rsid w:val="00577C59"/>
    <w:rsid w:val="0058548D"/>
    <w:rsid w:val="005D2A1C"/>
    <w:rsid w:val="005D6344"/>
    <w:rsid w:val="005E61CE"/>
    <w:rsid w:val="00662BA0"/>
    <w:rsid w:val="008D7EF7"/>
    <w:rsid w:val="008F5882"/>
    <w:rsid w:val="00967D19"/>
    <w:rsid w:val="00996153"/>
    <w:rsid w:val="00BA26BC"/>
    <w:rsid w:val="00C00D8F"/>
    <w:rsid w:val="00C040D5"/>
    <w:rsid w:val="00C90A86"/>
    <w:rsid w:val="00D92D1B"/>
    <w:rsid w:val="00D9368D"/>
    <w:rsid w:val="00DC0CD4"/>
    <w:rsid w:val="00E030E2"/>
    <w:rsid w:val="00E24E18"/>
    <w:rsid w:val="00EC56BB"/>
    <w:rsid w:val="00F55233"/>
    <w:rsid w:val="00FE5B6A"/>
    <w:rsid w:val="06A63E72"/>
    <w:rsid w:val="0BCF69CB"/>
    <w:rsid w:val="0DFD3866"/>
    <w:rsid w:val="0EAF2460"/>
    <w:rsid w:val="1170411D"/>
    <w:rsid w:val="16C9221D"/>
    <w:rsid w:val="19A25806"/>
    <w:rsid w:val="27ED1296"/>
    <w:rsid w:val="297050CD"/>
    <w:rsid w:val="3C0F5993"/>
    <w:rsid w:val="440B6621"/>
    <w:rsid w:val="4F410F87"/>
    <w:rsid w:val="558A1067"/>
    <w:rsid w:val="592D542A"/>
    <w:rsid w:val="61AB4E1D"/>
    <w:rsid w:val="66A51E98"/>
    <w:rsid w:val="6B1D7858"/>
    <w:rsid w:val="742B5EF0"/>
    <w:rsid w:val="75D664E7"/>
    <w:rsid w:val="7B0E4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10"/>
    <w:qFormat/>
    <w:uiPriority w:val="0"/>
    <w:pPr>
      <w:ind w:right="-178" w:rightChars="-85" w:firstLine="645"/>
      <w:jc w:val="left"/>
    </w:pPr>
    <w:rPr>
      <w:rFonts w:ascii="仿宋_GB2312" w:eastAsia="仿宋_GB2312"/>
      <w:sz w:val="32"/>
    </w:rPr>
  </w:style>
  <w:style w:type="paragraph" w:styleId="3">
    <w:name w:val="Balloon Text"/>
    <w:basedOn w:val="1"/>
    <w:link w:val="12"/>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9">
    <w:name w:val="页脚 Char"/>
    <w:basedOn w:val="6"/>
    <w:link w:val="4"/>
    <w:qFormat/>
    <w:uiPriority w:val="0"/>
    <w:rPr>
      <w:kern w:val="2"/>
      <w:sz w:val="18"/>
      <w:szCs w:val="18"/>
    </w:rPr>
  </w:style>
  <w:style w:type="character" w:customStyle="1" w:styleId="10">
    <w:name w:val="正文文本缩进 2 Char"/>
    <w:basedOn w:val="6"/>
    <w:link w:val="2"/>
    <w:qFormat/>
    <w:uiPriority w:val="0"/>
    <w:rPr>
      <w:rFonts w:ascii="仿宋_GB2312" w:eastAsia="仿宋_GB2312"/>
      <w:kern w:val="2"/>
      <w:sz w:val="32"/>
      <w:szCs w:val="24"/>
    </w:rPr>
  </w:style>
  <w:style w:type="character" w:customStyle="1" w:styleId="11">
    <w:name w:val="页眉 Char"/>
    <w:basedOn w:val="6"/>
    <w:link w:val="5"/>
    <w:qFormat/>
    <w:uiPriority w:val="0"/>
    <w:rPr>
      <w:kern w:val="2"/>
      <w:sz w:val="18"/>
      <w:szCs w:val="18"/>
    </w:rPr>
  </w:style>
  <w:style w:type="character" w:customStyle="1" w:styleId="12">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7953</Words>
  <Characters>3175</Characters>
  <Lines>26</Lines>
  <Paragraphs>22</Paragraphs>
  <TotalTime>17</TotalTime>
  <ScaleCrop>false</ScaleCrop>
  <LinksUpToDate>false</LinksUpToDate>
  <CharactersWithSpaces>11106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2018-05-25T06:11:00Z</dcterms:created>
  <dc:creator>王学冕</dc:creator>
  <cp:lastModifiedBy>Administrator</cp:lastModifiedBy>
  <cp:lastPrinted>2018-02-06T05:21:00Z</cp:lastPrinted>
  <dcterms:modified xsi:type="dcterms:W3CDTF">2019-02-12T06:02:32Z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