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640" w:firstLineChars="200"/>
        <w:rPr>
          <w:rFonts w:ascii="仿宋_GB2312" w:hAnsi="华文仿宋" w:eastAsia="仿宋_GB2312"/>
          <w:sz w:val="32"/>
          <w:szCs w:val="32"/>
        </w:rPr>
      </w:pPr>
    </w:p>
    <w:p>
      <w:pPr>
        <w:spacing w:line="620" w:lineRule="exact"/>
        <w:ind w:firstLine="640" w:firstLineChars="200"/>
        <w:rPr>
          <w:rFonts w:ascii="仿宋_GB2312" w:hAnsi="华文仿宋" w:eastAsia="仿宋_GB2312"/>
          <w:sz w:val="32"/>
          <w:szCs w:val="32"/>
        </w:rPr>
      </w:pPr>
    </w:p>
    <w:p>
      <w:pPr>
        <w:spacing w:line="620" w:lineRule="exact"/>
        <w:ind w:firstLine="640" w:firstLineChars="200"/>
        <w:rPr>
          <w:rFonts w:ascii="仿宋_GB2312" w:hAnsi="华文仿宋" w:eastAsia="仿宋_GB2312"/>
          <w:sz w:val="32"/>
          <w:szCs w:val="32"/>
        </w:rPr>
      </w:pPr>
    </w:p>
    <w:p>
      <w:pPr>
        <w:spacing w:line="620" w:lineRule="exact"/>
        <w:ind w:firstLine="640" w:firstLineChars="200"/>
        <w:rPr>
          <w:rFonts w:ascii="仿宋_GB2312" w:hAnsi="华文仿宋" w:eastAsia="仿宋_GB2312"/>
          <w:sz w:val="32"/>
          <w:szCs w:val="32"/>
        </w:rPr>
      </w:pPr>
    </w:p>
    <w:p>
      <w:pPr>
        <w:spacing w:line="620" w:lineRule="exact"/>
        <w:ind w:firstLine="720" w:firstLineChars="200"/>
        <w:jc w:val="center"/>
        <w:rPr>
          <w:rFonts w:ascii="方正小标宋简体" w:hAnsi="华文仿宋" w:eastAsia="方正小标宋简体"/>
          <w:sz w:val="36"/>
          <w:szCs w:val="36"/>
        </w:rPr>
      </w:pPr>
      <w:r>
        <w:rPr>
          <w:rFonts w:hint="eastAsia" w:ascii="方正小标宋简体" w:hAnsi="华文仿宋" w:eastAsia="方正小标宋简体"/>
          <w:sz w:val="36"/>
          <w:szCs w:val="36"/>
        </w:rPr>
        <w:t>宁东基地管委会2018年财政预算情况及</w:t>
      </w:r>
    </w:p>
    <w:p>
      <w:pPr>
        <w:spacing w:line="620" w:lineRule="exact"/>
        <w:ind w:firstLine="720" w:firstLineChars="200"/>
        <w:jc w:val="center"/>
        <w:rPr>
          <w:rFonts w:ascii="方正小标宋简体" w:hAnsi="华文仿宋" w:eastAsia="方正小标宋简体"/>
          <w:sz w:val="36"/>
          <w:szCs w:val="36"/>
        </w:rPr>
      </w:pPr>
      <w:r>
        <w:rPr>
          <w:rFonts w:hint="eastAsia" w:ascii="方正小标宋简体" w:hAnsi="华文仿宋" w:eastAsia="方正小标宋简体"/>
          <w:sz w:val="36"/>
          <w:szCs w:val="36"/>
        </w:rPr>
        <w:t>2019年财政预算的报告</w:t>
      </w:r>
    </w:p>
    <w:p>
      <w:pPr>
        <w:spacing w:line="620" w:lineRule="exact"/>
        <w:ind w:firstLine="640" w:firstLineChars="200"/>
        <w:rPr>
          <w:rFonts w:ascii="仿宋_GB2312" w:hAnsi="华文仿宋" w:eastAsia="仿宋_GB2312"/>
          <w:sz w:val="32"/>
          <w:szCs w:val="32"/>
        </w:rPr>
      </w:pPr>
    </w:p>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为切实履行财政支撑保障职能，促进宁东基地又好又快发展，根据《预算法》等法规及自治区人民政府关于编制市县级2019年预算的通知要求，我局代编了2019年宁东基地管委会财政收支预算。现将2018年财政预算执行情况和2019年财政预算编制情况报告如下。</w:t>
      </w:r>
    </w:p>
    <w:p>
      <w:pPr>
        <w:spacing w:line="620" w:lineRule="exact"/>
        <w:ind w:firstLine="643" w:firstLineChars="200"/>
        <w:rPr>
          <w:rFonts w:ascii="黑体" w:hAnsi="宋体" w:eastAsia="黑体" w:cs="宋体"/>
          <w:kern w:val="0"/>
          <w:sz w:val="32"/>
          <w:szCs w:val="32"/>
        </w:rPr>
      </w:pPr>
      <w:r>
        <w:rPr>
          <w:rFonts w:hint="eastAsia" w:ascii="黑体" w:hAnsi="宋体" w:eastAsia="黑体" w:cs="宋体"/>
          <w:b/>
          <w:bCs/>
          <w:kern w:val="0"/>
          <w:sz w:val="32"/>
          <w:szCs w:val="32"/>
        </w:rPr>
        <w:t>一、2018年财政及社保基金收支情况</w:t>
      </w:r>
    </w:p>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（一）财政收支的总体情况</w:t>
      </w:r>
    </w:p>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2018年，宁东基地党工委、管委会深入学习贯彻习近平新时代中国特色社会主义思想和党的十九大精神，全面落实自治区第十二次党代会安排布署，以12111发展战略为指引，坚持稳中求进的总基调，紧扣高质量发展要求，大力实施“三大战略”，坚决打好“三大攻坚战”，经济社会发展呈现稳中有进的良好态势，财政运行平衡，收入增长速度位于全区前列，收入质量进一步提高，支出结构持续优化，预算执行情况良好，收入总来源和支出总规模均创历史新高，较好的完成全年任务。</w:t>
      </w:r>
    </w:p>
    <w:p>
      <w:pPr>
        <w:spacing w:line="620" w:lineRule="exact"/>
        <w:ind w:firstLine="640" w:firstLineChars="200"/>
        <w:rPr>
          <w:rFonts w:ascii="仿宋_GB2312" w:hAnsi="华文仿宋" w:eastAsia="仿宋_GB2312"/>
          <w:sz w:val="32"/>
          <w:szCs w:val="32"/>
        </w:rPr>
      </w:pPr>
    </w:p>
    <w:p>
      <w:pPr>
        <w:widowControl/>
        <w:shd w:val="clear" w:color="auto" w:fill="FFFFFF"/>
        <w:spacing w:line="640" w:lineRule="exact"/>
        <w:ind w:firstLine="1920" w:firstLineChars="6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宁东基地2018年本级财政总收支统计表</w:t>
      </w:r>
    </w:p>
    <w:p>
      <w:pPr>
        <w:widowControl/>
        <w:shd w:val="clear" w:color="auto" w:fill="FFFFFF"/>
        <w:spacing w:line="240" w:lineRule="exact"/>
        <w:ind w:firstLine="480" w:firstLineChars="200"/>
        <w:jc w:val="left"/>
        <w:rPr>
          <w:rFonts w:ascii="仿宋_GB2312" w:hAnsi="宋体" w:eastAsia="仿宋_GB2312" w:cs="宋体"/>
          <w:kern w:val="0"/>
          <w:sz w:val="32"/>
          <w:szCs w:val="32"/>
        </w:rPr>
      </w:pPr>
      <w:r>
        <w:rPr>
          <w:rFonts w:hint="eastAsia" w:ascii="仿宋_GB2312" w:hAnsi="宋体" w:eastAsia="仿宋_GB2312" w:cs="宋体"/>
          <w:color w:val="000000"/>
          <w:kern w:val="0"/>
          <w:sz w:val="24"/>
        </w:rPr>
        <w:t xml:space="preserve">                                  </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 xml:space="preserve">         单位：万元</w:t>
      </w:r>
    </w:p>
    <w:tbl>
      <w:tblPr>
        <w:tblStyle w:val="7"/>
        <w:tblW w:w="8420" w:type="dxa"/>
        <w:tblInd w:w="93" w:type="dxa"/>
        <w:tblLayout w:type="fixed"/>
        <w:tblCellMar>
          <w:top w:w="0" w:type="dxa"/>
          <w:left w:w="108" w:type="dxa"/>
          <w:bottom w:w="0" w:type="dxa"/>
          <w:right w:w="108" w:type="dxa"/>
        </w:tblCellMar>
      </w:tblPr>
      <w:tblGrid>
        <w:gridCol w:w="1680"/>
        <w:gridCol w:w="1300"/>
        <w:gridCol w:w="1280"/>
        <w:gridCol w:w="1640"/>
        <w:gridCol w:w="1280"/>
        <w:gridCol w:w="1240"/>
      </w:tblGrid>
      <w:tr>
        <w:tblPrEx>
          <w:tblCellMar>
            <w:top w:w="0" w:type="dxa"/>
            <w:left w:w="108" w:type="dxa"/>
            <w:bottom w:w="0" w:type="dxa"/>
            <w:right w:w="108" w:type="dxa"/>
          </w:tblCellMar>
        </w:tblPrEx>
        <w:trPr>
          <w:trHeight w:val="270" w:hRule="atLeast"/>
        </w:trPr>
        <w:tc>
          <w:tcPr>
            <w:tcW w:w="42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收 入</w:t>
            </w:r>
          </w:p>
        </w:tc>
        <w:tc>
          <w:tcPr>
            <w:tcW w:w="41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支 出</w:t>
            </w:r>
          </w:p>
        </w:tc>
      </w:tr>
      <w:tr>
        <w:tblPrEx>
          <w:tblCellMar>
            <w:top w:w="0" w:type="dxa"/>
            <w:left w:w="108" w:type="dxa"/>
            <w:bottom w:w="0" w:type="dxa"/>
            <w:right w:w="108" w:type="dxa"/>
          </w:tblCellMar>
        </w:tblPrEx>
        <w:trPr>
          <w:trHeight w:val="27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2017年</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2018年</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项目</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2017年</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2018年</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一般预算收入</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211,523</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241,935</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一般预算支出</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225,650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357,938</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上级补助收入</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95,955</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179,870</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上解支出</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62,294</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62,294</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政府性基金</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32,137</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28,753</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政府性基金</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27,313</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28,695</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国有资本经营预算</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41,209</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959</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国有资本经营预算</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40,500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1,509</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地方政府债券</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125,150</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107,226</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债务还本</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55,150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107,226</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上年结转</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12,279</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53,956</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预算稳定调节基金</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53,390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22,385</w:t>
            </w:r>
          </w:p>
        </w:tc>
      </w:tr>
      <w:tr>
        <w:tblPrEx>
          <w:tblCellMar>
            <w:top w:w="0" w:type="dxa"/>
            <w:left w:w="108" w:type="dxa"/>
            <w:bottom w:w="0" w:type="dxa"/>
            <w:right w:w="108" w:type="dxa"/>
          </w:tblCellMar>
        </w:tblPrEx>
        <w:trPr>
          <w:trHeight w:val="45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16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结转下年</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53,956</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32,652</w:t>
            </w:r>
          </w:p>
        </w:tc>
      </w:tr>
      <w:tr>
        <w:tblPrEx>
          <w:tblCellMar>
            <w:top w:w="0" w:type="dxa"/>
            <w:left w:w="108" w:type="dxa"/>
            <w:bottom w:w="0" w:type="dxa"/>
            <w:right w:w="108" w:type="dxa"/>
          </w:tblCellMar>
        </w:tblPrEx>
        <w:trPr>
          <w:trHeight w:val="540" w:hRule="atLeast"/>
        </w:trPr>
        <w:tc>
          <w:tcPr>
            <w:tcW w:w="1680" w:type="dxa"/>
            <w:tcBorders>
              <w:top w:val="nil"/>
              <w:left w:val="single" w:color="auto" w:sz="4" w:space="0"/>
              <w:bottom w:val="single" w:color="auto" w:sz="4" w:space="0"/>
              <w:right w:val="single" w:color="auto" w:sz="4" w:space="0"/>
            </w:tcBorders>
            <w:shd w:val="clear" w:color="000000" w:fill="D7D7D7"/>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总收入来源</w:t>
            </w:r>
          </w:p>
        </w:tc>
        <w:tc>
          <w:tcPr>
            <w:tcW w:w="1300" w:type="dxa"/>
            <w:tcBorders>
              <w:top w:val="nil"/>
              <w:left w:val="nil"/>
              <w:bottom w:val="single" w:color="auto" w:sz="4" w:space="0"/>
              <w:right w:val="single" w:color="auto" w:sz="4" w:space="0"/>
            </w:tcBorders>
            <w:shd w:val="clear" w:color="000000" w:fill="D7D7D7"/>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518,253</w:t>
            </w:r>
          </w:p>
        </w:tc>
        <w:tc>
          <w:tcPr>
            <w:tcW w:w="1280" w:type="dxa"/>
            <w:tcBorders>
              <w:top w:val="nil"/>
              <w:left w:val="nil"/>
              <w:bottom w:val="single" w:color="auto" w:sz="4" w:space="0"/>
              <w:right w:val="single" w:color="auto" w:sz="4" w:space="0"/>
            </w:tcBorders>
            <w:shd w:val="clear" w:color="000000" w:fill="D7D7D7"/>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612,699</w:t>
            </w:r>
          </w:p>
        </w:tc>
        <w:tc>
          <w:tcPr>
            <w:tcW w:w="1640" w:type="dxa"/>
            <w:tcBorders>
              <w:top w:val="nil"/>
              <w:left w:val="nil"/>
              <w:bottom w:val="single" w:color="auto" w:sz="4" w:space="0"/>
              <w:right w:val="single" w:color="auto" w:sz="4" w:space="0"/>
            </w:tcBorders>
            <w:shd w:val="clear" w:color="000000" w:fill="D7D7D7"/>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总支出运用</w:t>
            </w:r>
          </w:p>
        </w:tc>
        <w:tc>
          <w:tcPr>
            <w:tcW w:w="1280" w:type="dxa"/>
            <w:tcBorders>
              <w:top w:val="nil"/>
              <w:left w:val="nil"/>
              <w:bottom w:val="single" w:color="auto" w:sz="4" w:space="0"/>
              <w:right w:val="single" w:color="auto" w:sz="4" w:space="0"/>
            </w:tcBorders>
            <w:shd w:val="clear" w:color="000000" w:fill="D7D7D7"/>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518,253</w:t>
            </w:r>
          </w:p>
        </w:tc>
        <w:tc>
          <w:tcPr>
            <w:tcW w:w="1240" w:type="dxa"/>
            <w:tcBorders>
              <w:top w:val="nil"/>
              <w:left w:val="nil"/>
              <w:bottom w:val="single" w:color="auto" w:sz="4" w:space="0"/>
              <w:right w:val="single" w:color="auto" w:sz="4" w:space="0"/>
            </w:tcBorders>
            <w:shd w:val="clear" w:color="000000" w:fill="D7D7D7"/>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612,699</w:t>
            </w:r>
          </w:p>
        </w:tc>
      </w:tr>
    </w:tbl>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（二）财政收入完成情况</w:t>
      </w:r>
    </w:p>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2018年，管委会认真贯彻国家政策，在积极落实增值税税率调整、个人所得税起征点提高、部分行业留抵退税政策等国家减税降费政策的情况下，强化月度、季度收支分析与管理，加大收入稽查力度，确保收入应收尽收，完成了收入目标任务。</w:t>
      </w:r>
    </w:p>
    <w:p>
      <w:pPr>
        <w:spacing w:line="62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2018年，宁东基地实现全口径财政收入 990,966万元，较上年增长19.83%，分级次看：实现中央级收入436,996万元，较上年增长32.61%；实现地方级收入553,970万元，较上年增长11.36%，其中：自治区级收入282,323万元，较上年增长32.8%；实现管委会级271,647万元，剔除2017年国有资本经营预算中PPP股权转让收益4.1亿元，较上年增长11.29%。2018年管委会实现一般公共预算收入241,935万元，较上年增长14.38%，完成年度预算的102.12%，其中：税收收入219,235万元，占90.62%；非税收入22,700万元，占9.38%。基金预算收入实现28,753万元，较上年下降10.53%，完成年度预算的95.84%。国有资本经营收入959万元，完成年度预算的119.88%。2018年分级次财政收入如下表：</w:t>
      </w:r>
    </w:p>
    <w:p>
      <w:pPr>
        <w:widowControl/>
        <w:shd w:val="clear" w:color="auto" w:fill="FFFFFF"/>
        <w:spacing w:line="240" w:lineRule="atLeas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2018年宁东基地财政收入统计表</w:t>
      </w:r>
    </w:p>
    <w:p>
      <w:pPr>
        <w:widowControl/>
        <w:shd w:val="clear" w:color="auto" w:fill="FFFFFF"/>
        <w:spacing w:line="240" w:lineRule="atLeast"/>
        <w:ind w:right="480"/>
        <w:jc w:val="center"/>
        <w:rPr>
          <w:rFonts w:ascii="仿宋_GB2312" w:hAnsi="宋体" w:eastAsia="仿宋_GB2312" w:cs="宋体"/>
          <w:kern w:val="0"/>
          <w:sz w:val="32"/>
          <w:szCs w:val="32"/>
        </w:rPr>
      </w:pPr>
      <w:r>
        <w:rPr>
          <w:rFonts w:hint="eastAsia" w:ascii="仿宋_GB2312" w:hAnsi="宋体" w:eastAsia="仿宋_GB2312" w:cs="宋体"/>
          <w:kern w:val="0"/>
          <w:sz w:val="24"/>
        </w:rPr>
        <w:t xml:space="preserve">                                                  单位：万元</w:t>
      </w:r>
    </w:p>
    <w:tbl>
      <w:tblPr>
        <w:tblStyle w:val="7"/>
        <w:tblpPr w:leftFromText="180" w:rightFromText="180" w:vertAnchor="text" w:horzAnchor="margin" w:tblpY="512"/>
        <w:tblOverlap w:val="never"/>
        <w:tblW w:w="8222" w:type="dxa"/>
        <w:tblInd w:w="0" w:type="dxa"/>
        <w:tblLayout w:type="fixed"/>
        <w:tblCellMar>
          <w:top w:w="15" w:type="dxa"/>
          <w:left w:w="15" w:type="dxa"/>
          <w:bottom w:w="15" w:type="dxa"/>
          <w:right w:w="15" w:type="dxa"/>
        </w:tblCellMar>
      </w:tblPr>
      <w:tblGrid>
        <w:gridCol w:w="1524"/>
        <w:gridCol w:w="2446"/>
        <w:gridCol w:w="1559"/>
        <w:gridCol w:w="1276"/>
        <w:gridCol w:w="1417"/>
      </w:tblGrid>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级 次</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项 目</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2017年</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2018年</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增长率</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中央级</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329,532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436,996</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32.61%</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325,739</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432,731</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32.85%</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 xml:space="preserve">    2.非税收入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3,793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4,265</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12.44%</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基金收入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0</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0</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sz w:val="24"/>
                <w:shd w:val="clear" w:color="FFFFFF" w:fill="D9D9D9"/>
              </w:rPr>
            </w:pPr>
          </w:p>
        </w:tc>
        <w:tc>
          <w:tcPr>
            <w:tcW w:w="244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4"/>
                <w:shd w:val="clear" w:color="FFFFFF" w:fill="D9D9D9"/>
              </w:rPr>
            </w:pPr>
            <w:r>
              <w:rPr>
                <w:rFonts w:hint="eastAsia" w:ascii="仿宋_GB2312" w:hAnsi="宋体" w:eastAsia="仿宋_GB2312" w:cs="仿宋_GB2312"/>
                <w:b/>
                <w:color w:val="000000"/>
                <w:kern w:val="0"/>
                <w:sz w:val="24"/>
              </w:rPr>
              <w:t>中央级收入小计</w:t>
            </w:r>
          </w:p>
        </w:tc>
        <w:tc>
          <w:tcPr>
            <w:tcW w:w="1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4"/>
                <w:shd w:val="clear" w:color="FFFFFF" w:fill="D9D9D9"/>
              </w:rPr>
            </w:pPr>
            <w:r>
              <w:rPr>
                <w:rFonts w:hint="eastAsia" w:ascii="仿宋_GB2312" w:hAnsi="宋体" w:eastAsia="仿宋_GB2312" w:cs="仿宋_GB2312"/>
                <w:b/>
                <w:color w:val="000000"/>
                <w:kern w:val="0"/>
                <w:sz w:val="24"/>
              </w:rPr>
              <w:t>329,532</w:t>
            </w:r>
          </w:p>
        </w:tc>
        <w:tc>
          <w:tcPr>
            <w:tcW w:w="12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4"/>
                <w:shd w:val="clear" w:color="FFFFFF" w:fill="D9D9D9"/>
              </w:rPr>
            </w:pPr>
            <w:r>
              <w:rPr>
                <w:rFonts w:hint="eastAsia" w:ascii="仿宋_GB2312" w:hAnsi="宋体" w:eastAsia="仿宋_GB2312" w:cs="仿宋_GB2312"/>
                <w:b/>
                <w:color w:val="000000"/>
                <w:kern w:val="0"/>
                <w:sz w:val="24"/>
              </w:rPr>
              <w:t>436,996</w:t>
            </w:r>
          </w:p>
        </w:tc>
        <w:tc>
          <w:tcPr>
            <w:tcW w:w="141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sz w:val="24"/>
                <w:shd w:val="clear" w:color="FFFFFF" w:fill="D9D9D9"/>
              </w:rPr>
            </w:pPr>
            <w:r>
              <w:rPr>
                <w:rFonts w:hint="eastAsia" w:ascii="仿宋_GB2312" w:hAnsi="宋体" w:eastAsia="仿宋_GB2312" w:cs="仿宋_GB2312"/>
                <w:b/>
                <w:color w:val="000000"/>
                <w:kern w:val="0"/>
                <w:sz w:val="24"/>
              </w:rPr>
              <w:t>32.61%</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自治区级</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212,586</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282,323</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32.80%</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191,308</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260,092</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35.95%</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 xml:space="preserve">    2.非税收入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21,278</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22,231</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4.48%</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基金收入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0</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0</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4"/>
              </w:rPr>
            </w:pPr>
            <w:r>
              <w:rPr>
                <w:rFonts w:hint="eastAsia" w:ascii="仿宋_GB2312" w:hAnsi="宋体" w:eastAsia="仿宋_GB2312" w:cs="仿宋_GB2312"/>
                <w:b/>
                <w:color w:val="000000"/>
                <w:kern w:val="0"/>
                <w:sz w:val="24"/>
              </w:rPr>
              <w:t>自治区收入小计</w:t>
            </w:r>
          </w:p>
        </w:tc>
        <w:tc>
          <w:tcPr>
            <w:tcW w:w="1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color w:val="000000"/>
                <w:kern w:val="0"/>
                <w:sz w:val="24"/>
              </w:rPr>
              <w:t>212,586</w:t>
            </w:r>
          </w:p>
        </w:tc>
        <w:tc>
          <w:tcPr>
            <w:tcW w:w="12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4"/>
              </w:rPr>
            </w:pPr>
            <w:r>
              <w:rPr>
                <w:rFonts w:hint="eastAsia" w:ascii="仿宋_GB2312" w:hAnsi="宋体" w:eastAsia="仿宋_GB2312" w:cs="仿宋_GB2312"/>
                <w:b/>
                <w:color w:val="000000"/>
                <w:kern w:val="0"/>
                <w:sz w:val="24"/>
              </w:rPr>
              <w:t>282,323</w:t>
            </w:r>
          </w:p>
        </w:tc>
        <w:tc>
          <w:tcPr>
            <w:tcW w:w="141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b/>
                <w:color w:val="000000"/>
                <w:kern w:val="0"/>
                <w:sz w:val="24"/>
              </w:rPr>
              <w:t>32.80%</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管委会级</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211,523</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241,935</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14.38%</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190,214</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219,234</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15.26%</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 xml:space="preserve">    2.非税收入</w:t>
            </w:r>
          </w:p>
        </w:tc>
        <w:tc>
          <w:tcPr>
            <w:tcW w:w="155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21,309</w:t>
            </w:r>
          </w:p>
        </w:tc>
        <w:tc>
          <w:tcPr>
            <w:tcW w:w="127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22,701</w:t>
            </w:r>
          </w:p>
        </w:tc>
        <w:tc>
          <w:tcPr>
            <w:tcW w:w="141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6.53%</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auto" w:sz="4" w:space="0"/>
            </w:tcBorders>
            <w:vAlign w:val="bottom"/>
          </w:tcPr>
          <w:p>
            <w:pPr>
              <w:jc w:val="center"/>
              <w:rPr>
                <w:rFonts w:ascii="仿宋_GB2312" w:hAnsi="宋体" w:eastAsia="仿宋_GB2312" w:cs="仿宋_GB2312"/>
                <w:color w:val="FF0000"/>
                <w:sz w:val="24"/>
              </w:rPr>
            </w:pPr>
          </w:p>
        </w:tc>
        <w:tc>
          <w:tcPr>
            <w:tcW w:w="244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基金收入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32,137</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28,753</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-10.53%</w:t>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auto" w:sz="4" w:space="0"/>
            </w:tcBorders>
            <w:vAlign w:val="center"/>
          </w:tcPr>
          <w:p>
            <w:pPr>
              <w:rPr>
                <w:sz w:val="24"/>
              </w:rPr>
            </w:pPr>
          </w:p>
        </w:tc>
        <w:tc>
          <w:tcPr>
            <w:tcW w:w="244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_GB2312" w:hAnsi="宋体" w:eastAsia="仿宋_GB2312" w:cs="仿宋_GB2312"/>
                <w:color w:val="FF0000"/>
                <w:kern w:val="0"/>
                <w:sz w:val="24"/>
              </w:rPr>
            </w:pPr>
            <w:r>
              <w:rPr>
                <w:rFonts w:hint="eastAsia" w:ascii="仿宋_GB2312" w:hAnsi="宋体" w:eastAsia="仿宋_GB2312" w:cs="仿宋_GB2312"/>
                <w:color w:val="000000"/>
                <w:kern w:val="0"/>
                <w:sz w:val="24"/>
              </w:rPr>
              <w:t>国有资本经营收入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kern w:val="0"/>
                <w:sz w:val="24"/>
              </w:rPr>
            </w:pPr>
            <w:r>
              <w:rPr>
                <w:rFonts w:hint="eastAsia" w:ascii="仿宋_GB2312" w:hAnsi="宋体" w:eastAsia="仿宋_GB2312" w:cs="仿宋_GB2312"/>
                <w:color w:val="000000"/>
                <w:kern w:val="0"/>
                <w:sz w:val="24"/>
              </w:rPr>
              <w:t>41,209</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kern w:val="0"/>
                <w:sz w:val="24"/>
              </w:rPr>
            </w:pPr>
            <w:r>
              <w:rPr>
                <w:rFonts w:hint="eastAsia" w:ascii="仿宋_GB2312" w:hAnsi="宋体" w:eastAsia="仿宋_GB2312" w:cs="仿宋_GB2312"/>
                <w:color w:val="000000"/>
                <w:kern w:val="0"/>
                <w:sz w:val="24"/>
              </w:rPr>
              <w:t>959</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FF0000"/>
                <w:kern w:val="0"/>
                <w:sz w:val="24"/>
              </w:rPr>
            </w:pPr>
            <w:r>
              <w:rPr>
                <w:rFonts w:hint="eastAsia" w:ascii="仿宋_GB2312" w:hAnsi="宋体" w:eastAsia="仿宋_GB2312" w:cs="仿宋_GB2312"/>
                <w:color w:val="000000"/>
                <w:kern w:val="0"/>
                <w:sz w:val="24"/>
              </w:rPr>
              <w:t>-97.67%</w:t>
            </w:r>
            <w:r>
              <w:rPr>
                <w:rStyle w:val="10"/>
                <w:rFonts w:hint="eastAsia" w:ascii="仿宋_GB2312" w:hAnsi="宋体" w:eastAsia="仿宋_GB2312" w:cs="仿宋_GB2312"/>
                <w:color w:val="000000"/>
                <w:kern w:val="0"/>
                <w:sz w:val="24"/>
              </w:rPr>
              <w:footnoteReference w:id="0"/>
            </w:r>
          </w:p>
        </w:tc>
      </w:tr>
      <w:tr>
        <w:tblPrEx>
          <w:tblCellMar>
            <w:top w:w="15" w:type="dxa"/>
            <w:left w:w="15" w:type="dxa"/>
            <w:bottom w:w="15" w:type="dxa"/>
            <w:right w:w="15" w:type="dxa"/>
          </w:tblCellMar>
        </w:tblPrEx>
        <w:trPr>
          <w:trHeight w:val="386" w:hRule="atLeast"/>
        </w:trPr>
        <w:tc>
          <w:tcPr>
            <w:tcW w:w="1524" w:type="dxa"/>
            <w:tcBorders>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color w:val="FF0000"/>
                <w:sz w:val="24"/>
              </w:rPr>
            </w:pPr>
          </w:p>
        </w:tc>
        <w:tc>
          <w:tcPr>
            <w:tcW w:w="2446"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4"/>
              </w:rPr>
            </w:pPr>
            <w:r>
              <w:rPr>
                <w:rFonts w:hint="eastAsia" w:ascii="仿宋_GB2312" w:hAnsi="宋体" w:eastAsia="仿宋_GB2312" w:cs="仿宋_GB2312"/>
                <w:b/>
                <w:color w:val="000000"/>
                <w:kern w:val="0"/>
                <w:sz w:val="24"/>
              </w:rPr>
              <w:t>管委会收入小计</w:t>
            </w:r>
          </w:p>
        </w:tc>
        <w:tc>
          <w:tcPr>
            <w:tcW w:w="1559"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color w:val="000000"/>
                <w:kern w:val="0"/>
                <w:sz w:val="24"/>
              </w:rPr>
              <w:t>284,869</w:t>
            </w:r>
          </w:p>
        </w:tc>
        <w:tc>
          <w:tcPr>
            <w:tcW w:w="1276"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color w:val="FF0000"/>
                <w:sz w:val="24"/>
              </w:rPr>
            </w:pPr>
            <w:r>
              <w:rPr>
                <w:rFonts w:hint="eastAsia" w:ascii="仿宋_GB2312" w:hAnsi="宋体" w:eastAsia="仿宋_GB2312" w:cs="仿宋_GB2312"/>
                <w:b/>
                <w:color w:val="000000"/>
                <w:kern w:val="0"/>
                <w:sz w:val="24"/>
              </w:rPr>
              <w:t>271,647</w:t>
            </w:r>
          </w:p>
        </w:tc>
        <w:tc>
          <w:tcPr>
            <w:tcW w:w="1417" w:type="dxa"/>
            <w:tcBorders>
              <w:top w:val="single" w:color="auto"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b/>
                <w:color w:val="000000"/>
                <w:kern w:val="0"/>
                <w:sz w:val="24"/>
              </w:rPr>
              <w:t>-4.64%</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分类汇总</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公共预算收入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753,641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961,254</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27.55%</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 xml:space="preserve">   其中：1.税收</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707,261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912,057</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28.96%</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 xml:space="preserve">    2.非税收入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46,380</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49,197</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6.07%</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基金收入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color w:val="000000"/>
                <w:kern w:val="0"/>
                <w:sz w:val="24"/>
              </w:rPr>
              <w:t>32,137</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28,753</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-10.53%</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b/>
                <w:color w:val="FF0000"/>
                <w:sz w:val="24"/>
              </w:rPr>
            </w:pPr>
            <w:r>
              <w:rPr>
                <w:rFonts w:hint="eastAsia" w:ascii="仿宋_GB2312" w:hAnsi="宋体" w:eastAsia="仿宋_GB2312" w:cs="仿宋_GB2312"/>
                <w:color w:val="000000"/>
                <w:kern w:val="0"/>
                <w:sz w:val="24"/>
              </w:rPr>
              <w:t>国有资本经营预算收入</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color w:val="000000"/>
                <w:kern w:val="0"/>
                <w:sz w:val="24"/>
              </w:rPr>
              <w:t>41,209</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color w:val="FF0000"/>
                <w:sz w:val="24"/>
              </w:rPr>
            </w:pPr>
            <w:r>
              <w:rPr>
                <w:rFonts w:hint="eastAsia" w:ascii="仿宋_GB2312" w:hAnsi="宋体" w:eastAsia="仿宋_GB2312" w:cs="仿宋_GB2312"/>
                <w:color w:val="000000"/>
                <w:kern w:val="0"/>
                <w:sz w:val="24"/>
              </w:rPr>
              <w:t>959</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FF0000"/>
                <w:sz w:val="24"/>
              </w:rPr>
            </w:pPr>
            <w:r>
              <w:rPr>
                <w:rFonts w:hint="eastAsia" w:ascii="仿宋_GB2312" w:hAnsi="宋体" w:eastAsia="仿宋_GB2312" w:cs="仿宋_GB2312"/>
                <w:color w:val="000000"/>
                <w:kern w:val="0"/>
                <w:sz w:val="24"/>
              </w:rPr>
              <w:t>-97.67%</w:t>
            </w:r>
          </w:p>
        </w:tc>
      </w:tr>
      <w:tr>
        <w:tblPrEx>
          <w:tblCellMar>
            <w:top w:w="15" w:type="dxa"/>
            <w:left w:w="15" w:type="dxa"/>
            <w:bottom w:w="15" w:type="dxa"/>
            <w:right w:w="15" w:type="dxa"/>
          </w:tblCellMar>
        </w:tblPrEx>
        <w:trPr>
          <w:trHeight w:val="386" w:hRule="atLeast"/>
        </w:trPr>
        <w:tc>
          <w:tcPr>
            <w:tcW w:w="1524" w:type="dxa"/>
            <w:tcBorders>
              <w:top w:val="single" w:color="000000" w:sz="4" w:space="0"/>
              <w:left w:val="single" w:color="000000" w:sz="4" w:space="0"/>
              <w:bottom w:val="single" w:color="000000" w:sz="4" w:space="0"/>
              <w:right w:val="single" w:color="000000" w:sz="4" w:space="0"/>
            </w:tcBorders>
            <w:shd w:val="clear" w:color="auto" w:fill="D7D7D7"/>
            <w:vAlign w:val="bottom"/>
          </w:tcPr>
          <w:p>
            <w:pPr>
              <w:jc w:val="center"/>
              <w:rPr>
                <w:rFonts w:ascii="仿宋_GB2312" w:hAnsi="宋体" w:eastAsia="仿宋_GB2312" w:cs="仿宋_GB2312"/>
                <w:color w:val="FF0000"/>
                <w:sz w:val="24"/>
              </w:rPr>
            </w:pPr>
          </w:p>
        </w:tc>
        <w:tc>
          <w:tcPr>
            <w:tcW w:w="244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b/>
                <w:color w:val="000000"/>
                <w:kern w:val="0"/>
                <w:sz w:val="24"/>
              </w:rPr>
              <w:t>全口径收入合计</w:t>
            </w:r>
          </w:p>
        </w:tc>
        <w:tc>
          <w:tcPr>
            <w:tcW w:w="1559"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color w:val="000000"/>
                <w:kern w:val="0"/>
                <w:sz w:val="24"/>
              </w:rPr>
              <w:t>826,987</w:t>
            </w:r>
          </w:p>
        </w:tc>
        <w:tc>
          <w:tcPr>
            <w:tcW w:w="1276"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b/>
                <w:color w:val="000000"/>
                <w:kern w:val="0"/>
                <w:sz w:val="24"/>
              </w:rPr>
              <w:t>990,966</w:t>
            </w:r>
          </w:p>
        </w:tc>
        <w:tc>
          <w:tcPr>
            <w:tcW w:w="1417" w:type="dxa"/>
            <w:tcBorders>
              <w:top w:val="single" w:color="000000" w:sz="4" w:space="0"/>
              <w:left w:val="single" w:color="000000" w:sz="4" w:space="0"/>
              <w:bottom w:val="single" w:color="000000" w:sz="4" w:space="0"/>
              <w:right w:val="single" w:color="000000" w:sz="4" w:space="0"/>
            </w:tcBorders>
            <w:shd w:val="clear" w:color="auto" w:fill="D7D7D7"/>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b/>
                <w:color w:val="000000"/>
                <w:kern w:val="0"/>
                <w:sz w:val="24"/>
              </w:rPr>
              <w:t>19.83%</w:t>
            </w:r>
          </w:p>
        </w:tc>
      </w:tr>
    </w:tbl>
    <w:p>
      <w:pPr>
        <w:widowControl/>
        <w:shd w:val="clear" w:color="auto" w:fill="FFFFFF"/>
        <w:spacing w:line="240" w:lineRule="atLeast"/>
        <w:jc w:val="center"/>
        <w:rPr>
          <w:rFonts w:ascii="仿宋_GB2312" w:hAnsi="宋体" w:eastAsia="仿宋_GB2312" w:cs="宋体"/>
          <w:kern w:val="0"/>
          <w:sz w:val="32"/>
          <w:szCs w:val="32"/>
        </w:rPr>
      </w:pPr>
      <w:r>
        <w:rPr>
          <w:rFonts w:hint="eastAsia" w:ascii="仿宋_GB2312" w:hAnsi="宋体" w:eastAsia="仿宋_GB2312" w:cs="宋体"/>
          <w:kern w:val="0"/>
          <w:sz w:val="24"/>
        </w:rPr>
        <w:t xml:space="preserve">                                           </w:t>
      </w:r>
    </w:p>
    <w:p>
      <w:pPr>
        <w:widowControl/>
        <w:shd w:val="clear" w:color="auto" w:fill="FFFFFF"/>
        <w:spacing w:line="240" w:lineRule="exact"/>
        <w:jc w:val="left"/>
        <w:rPr>
          <w:rFonts w:ascii="仿宋_GB2312" w:hAnsi="宋体" w:eastAsia="仿宋_GB2312" w:cs="宋体"/>
          <w:color w:val="FF0000"/>
          <w:kern w:val="0"/>
          <w:sz w:val="32"/>
          <w:szCs w:val="32"/>
        </w:rPr>
      </w:pP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（三）财政支出完成情况</w:t>
      </w:r>
    </w:p>
    <w:p>
      <w:pPr>
        <w:widowControl/>
        <w:shd w:val="clear" w:color="auto" w:fill="FFFFFF"/>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根据基地发展总目标和年度重点建设任务，努力提升财政保障能力，全年安排各类财政支出38.81亿元，较上年增长32.2%。</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其中：本级公共财政预算支出35.79亿元，较上年增长58.63%，增幅排名全区第一；政府性基金支出2.87亿元，较上年增长5.06%；国有资本经营预算预算支出1509万元，较上年减少96.27%。</w:t>
      </w:r>
      <w:r>
        <w:rPr>
          <w:rFonts w:hint="eastAsia" w:ascii="仿宋_GB2312" w:hAnsi="宋体" w:eastAsia="仿宋_GB2312" w:cs="宋体"/>
          <w:kern w:val="0"/>
          <w:sz w:val="32"/>
          <w:szCs w:val="32"/>
        </w:rPr>
        <w:t>详见下表：</w:t>
      </w:r>
    </w:p>
    <w:p>
      <w:pPr>
        <w:widowControl/>
        <w:shd w:val="clear" w:color="auto" w:fill="FFFFFF"/>
        <w:spacing w:line="640" w:lineRule="exact"/>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宁东基地2018年本级全口径财政支出明细表</w:t>
      </w:r>
    </w:p>
    <w:p>
      <w:pPr>
        <w:widowControl/>
        <w:shd w:val="clear" w:color="auto" w:fill="FFFFFF"/>
        <w:spacing w:line="240" w:lineRule="atLeast"/>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bl>
      <w:tblPr>
        <w:tblStyle w:val="7"/>
        <w:tblW w:w="8780" w:type="dxa"/>
        <w:tblInd w:w="91" w:type="dxa"/>
        <w:tblLayout w:type="fixed"/>
        <w:tblCellMar>
          <w:top w:w="0" w:type="dxa"/>
          <w:left w:w="108" w:type="dxa"/>
          <w:bottom w:w="0" w:type="dxa"/>
          <w:right w:w="108" w:type="dxa"/>
        </w:tblCellMar>
      </w:tblPr>
      <w:tblGrid>
        <w:gridCol w:w="1740"/>
        <w:gridCol w:w="4740"/>
        <w:gridCol w:w="1360"/>
        <w:gridCol w:w="940"/>
      </w:tblGrid>
      <w:tr>
        <w:tblPrEx>
          <w:tblCellMar>
            <w:top w:w="0" w:type="dxa"/>
            <w:left w:w="108" w:type="dxa"/>
            <w:bottom w:w="0" w:type="dxa"/>
            <w:right w:w="108" w:type="dxa"/>
          </w:tblCellMar>
        </w:tblPrEx>
        <w:trPr>
          <w:trHeight w:val="540" w:hRule="atLeast"/>
        </w:trPr>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bookmarkStart w:id="0" w:name="RANGE!M2:P40"/>
            <w:r>
              <w:rPr>
                <w:rFonts w:hint="eastAsia" w:ascii="仿宋_GB2312" w:hAnsi="宋体" w:eastAsia="仿宋_GB2312" w:cs="宋体"/>
                <w:b/>
                <w:bCs/>
                <w:kern w:val="0"/>
                <w:sz w:val="24"/>
              </w:rPr>
              <w:t>类  别</w:t>
            </w:r>
            <w:bookmarkEnd w:id="0"/>
          </w:p>
        </w:tc>
        <w:tc>
          <w:tcPr>
            <w:tcW w:w="4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项  目</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 xml:space="preserve"> 金  额 </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 xml:space="preserve"> 支出占比 </w:t>
            </w:r>
          </w:p>
        </w:tc>
      </w:tr>
      <w:tr>
        <w:tblPrEx>
          <w:tblCellMar>
            <w:top w:w="0" w:type="dxa"/>
            <w:left w:w="108" w:type="dxa"/>
            <w:bottom w:w="0" w:type="dxa"/>
            <w:right w:w="108" w:type="dxa"/>
          </w:tblCellMar>
        </w:tblPrEx>
        <w:trPr>
          <w:trHeight w:val="369" w:hRule="atLeast"/>
        </w:trPr>
        <w:tc>
          <w:tcPr>
            <w:tcW w:w="1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一、一般公共预算安排支出</w:t>
            </w: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1.人员工资及各部门单位运转支出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23,404</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6.03%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2.对委属企业注资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98,685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25.42%</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其中:对投资公司注资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92,685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对科创公司注资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4,000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对市政公司注资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3.节能环保支出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68,025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17.53%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    其中:污染治理(自治区债券资金)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50,000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ppp项目可行性缺口补助资金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7,519</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环保设备采购及运行支出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5,695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生态绿化提升改造项目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3,776</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环境整治及绿化养护资金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1,035</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4.宁东基地基础设施相关支出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61,192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15.77%</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其中:学校建设资金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14,040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宁东医院新院建设资金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14,500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其他镇区基础设施建设</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32,652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5.支持中小企业发展支出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25,450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6.56%</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6.城乡社区环境支出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14,868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3.83%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其中:环境整治资金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11,082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绿化养护费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1,429</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政府投资项目及其他资金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2,357</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7.隐性债务还本付息支出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38,893</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10.02%</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8.地方政府一般债券付息支出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14,390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3.71%</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9.棚户区改造及公租房租金补助支出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4,791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10.公共安全运行支出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3,226</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0.83%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其中:宁东消防运行及设备采购</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1,988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宁东公安运行支出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900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宁东交警运行支出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338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11.民政、社保、医疗、教育、扶贫支出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5,014</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1.29%</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一般公共预算支出小计</w:t>
            </w:r>
          </w:p>
        </w:tc>
        <w:tc>
          <w:tcPr>
            <w:tcW w:w="1360"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357,938</w:t>
            </w:r>
          </w:p>
        </w:tc>
        <w:tc>
          <w:tcPr>
            <w:tcW w:w="940"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仿宋_GB2312" w:hAnsi="宋体" w:eastAsia="仿宋_GB2312" w:cs="宋体"/>
                <w:b/>
                <w:bCs/>
                <w:kern w:val="0"/>
                <w:sz w:val="24"/>
              </w:rPr>
            </w:pPr>
          </w:p>
        </w:tc>
      </w:tr>
      <w:tr>
        <w:tblPrEx>
          <w:tblCellMar>
            <w:top w:w="0" w:type="dxa"/>
            <w:left w:w="108" w:type="dxa"/>
            <w:bottom w:w="0" w:type="dxa"/>
            <w:right w:w="108" w:type="dxa"/>
          </w:tblCellMar>
        </w:tblPrEx>
        <w:trPr>
          <w:trHeight w:val="369" w:hRule="atLeast"/>
        </w:trPr>
        <w:tc>
          <w:tcPr>
            <w:tcW w:w="17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二、政府性基金支出</w:t>
            </w: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1.征地拆迁补偿支出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6,812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3.30%</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2.政府投资建设项目支出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6,500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1.67%</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2"/>
                <w:szCs w:val="20"/>
              </w:rPr>
              <w:t>3.收回中房物流园国有土地使用权和资产支出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11,148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1.33%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4.棚户区改造支出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1,477</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0.38%</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5.营业房停产停业、临时安置支出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1,300</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0.33%</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6.植被恢复及供电局工作经费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1,458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0.38%</w:t>
            </w:r>
          </w:p>
        </w:tc>
      </w:tr>
      <w:tr>
        <w:tblPrEx>
          <w:tblCellMar>
            <w:top w:w="0" w:type="dxa"/>
            <w:left w:w="108" w:type="dxa"/>
            <w:bottom w:w="0" w:type="dxa"/>
            <w:right w:w="108" w:type="dxa"/>
          </w:tblCellMar>
        </w:tblPrEx>
        <w:trPr>
          <w:trHeight w:val="369" w:hRule="atLeast"/>
        </w:trPr>
        <w:tc>
          <w:tcPr>
            <w:tcW w:w="174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kern w:val="0"/>
                <w:sz w:val="24"/>
              </w:rPr>
            </w:pPr>
          </w:p>
        </w:tc>
        <w:tc>
          <w:tcPr>
            <w:tcW w:w="4740"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政府性基金支出小计</w:t>
            </w:r>
          </w:p>
        </w:tc>
        <w:tc>
          <w:tcPr>
            <w:tcW w:w="1360"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28,695</w:t>
            </w:r>
          </w:p>
        </w:tc>
        <w:tc>
          <w:tcPr>
            <w:tcW w:w="940" w:type="dxa"/>
            <w:tcBorders>
              <w:top w:val="nil"/>
              <w:left w:val="nil"/>
              <w:bottom w:val="single" w:color="auto" w:sz="4" w:space="0"/>
              <w:right w:val="single" w:color="auto" w:sz="4" w:space="0"/>
            </w:tcBorders>
            <w:shd w:val="clear" w:color="auto" w:fill="D7D7D7" w:themeFill="background1" w:themeFillShade="D8"/>
            <w:vAlign w:val="center"/>
          </w:tcPr>
          <w:p>
            <w:pPr>
              <w:widowControl/>
              <w:jc w:val="center"/>
              <w:rPr>
                <w:rFonts w:ascii="仿宋_GB2312" w:hAnsi="宋体" w:eastAsia="仿宋_GB2312" w:cs="宋体"/>
                <w:b/>
                <w:bCs/>
                <w:kern w:val="0"/>
                <w:sz w:val="24"/>
              </w:rPr>
            </w:pPr>
          </w:p>
        </w:tc>
      </w:tr>
      <w:tr>
        <w:tblPrEx>
          <w:tblCellMar>
            <w:top w:w="0" w:type="dxa"/>
            <w:left w:w="108" w:type="dxa"/>
            <w:bottom w:w="0" w:type="dxa"/>
            <w:right w:w="108" w:type="dxa"/>
          </w:tblCellMar>
        </w:tblPrEx>
        <w:trPr>
          <w:trHeight w:val="354" w:hRule="atLeast"/>
        </w:trPr>
        <w:tc>
          <w:tcPr>
            <w:tcW w:w="174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三、国有资本经营预算支出</w:t>
            </w:r>
          </w:p>
        </w:tc>
        <w:tc>
          <w:tcPr>
            <w:tcW w:w="474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增加宁东投资公司注册资本金</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1,509</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0.39%</w:t>
            </w:r>
          </w:p>
        </w:tc>
      </w:tr>
      <w:tr>
        <w:tblPrEx>
          <w:tblCellMar>
            <w:top w:w="0" w:type="dxa"/>
            <w:left w:w="108" w:type="dxa"/>
            <w:bottom w:w="0" w:type="dxa"/>
            <w:right w:w="108" w:type="dxa"/>
          </w:tblCellMar>
        </w:tblPrEx>
        <w:trPr>
          <w:trHeight w:val="465" w:hRule="atLeast"/>
        </w:trPr>
        <w:tc>
          <w:tcPr>
            <w:tcW w:w="6480" w:type="dxa"/>
            <w:gridSpan w:val="2"/>
            <w:tcBorders>
              <w:top w:val="single" w:color="auto" w:sz="4" w:space="0"/>
              <w:left w:val="single" w:color="auto" w:sz="4" w:space="0"/>
              <w:bottom w:val="single" w:color="auto" w:sz="4" w:space="0"/>
              <w:right w:val="single" w:color="000000" w:sz="4" w:space="0"/>
            </w:tcBorders>
            <w:shd w:val="clear" w:color="auto" w:fill="BEBEBE" w:themeFill="background1" w:themeFillShade="BF"/>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2018年支出合计</w:t>
            </w:r>
          </w:p>
        </w:tc>
        <w:tc>
          <w:tcPr>
            <w:tcW w:w="1360" w:type="dxa"/>
            <w:tcBorders>
              <w:top w:val="nil"/>
              <w:left w:val="nil"/>
              <w:bottom w:val="single" w:color="auto" w:sz="4" w:space="0"/>
              <w:right w:val="single" w:color="auto" w:sz="4" w:space="0"/>
            </w:tcBorders>
            <w:shd w:val="clear" w:color="auto" w:fill="BEBEBE" w:themeFill="background1" w:themeFillShade="BF"/>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388,142</w:t>
            </w:r>
          </w:p>
        </w:tc>
        <w:tc>
          <w:tcPr>
            <w:tcW w:w="940" w:type="dxa"/>
            <w:tcBorders>
              <w:top w:val="nil"/>
              <w:left w:val="nil"/>
              <w:bottom w:val="single" w:color="auto" w:sz="4" w:space="0"/>
              <w:right w:val="single" w:color="auto" w:sz="4" w:space="0"/>
            </w:tcBorders>
            <w:shd w:val="clear" w:color="auto" w:fill="BEBEBE" w:themeFill="background1" w:themeFillShade="BF"/>
            <w:vAlign w:val="center"/>
          </w:tcPr>
          <w:p>
            <w:pPr>
              <w:widowControl/>
              <w:jc w:val="center"/>
              <w:rPr>
                <w:rFonts w:ascii="仿宋_GB2312" w:hAnsi="宋体" w:eastAsia="仿宋_GB2312" w:cs="宋体"/>
                <w:b/>
                <w:bCs/>
                <w:kern w:val="0"/>
                <w:sz w:val="24"/>
              </w:rPr>
            </w:pPr>
          </w:p>
        </w:tc>
      </w:tr>
    </w:tbl>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（四）社保基金预算收支情况</w:t>
      </w:r>
    </w:p>
    <w:p>
      <w:pPr>
        <w:widowControl/>
        <w:shd w:val="clear" w:color="auto" w:fill="FFFFFF"/>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1.社保基金收入完成情况</w:t>
      </w:r>
    </w:p>
    <w:p>
      <w:pPr>
        <w:spacing w:line="560" w:lineRule="exact"/>
        <w:ind w:firstLine="592" w:firstLineChars="185"/>
        <w:rPr>
          <w:rFonts w:ascii="黑体" w:hAnsi="宋体" w:eastAsia="黑体" w:cs="宋体"/>
          <w:b/>
          <w:bCs/>
          <w:kern w:val="0"/>
          <w:sz w:val="32"/>
          <w:szCs w:val="32"/>
        </w:rPr>
      </w:pPr>
      <w:r>
        <w:rPr>
          <w:rFonts w:hint="eastAsia" w:ascii="仿宋_GB2312" w:hAnsi="仿宋_GB2312" w:eastAsia="仿宋_GB2312" w:cs="仿宋_GB2312"/>
          <w:sz w:val="32"/>
          <w:szCs w:val="32"/>
        </w:rPr>
        <w:t>宁东管委会于2018年4月份开始正式启动宁东基地社保经办工作。按照移交事项，灵武将职工养老保险、城乡居民养老保险、工伤保险，三项社保基金收缴及相关支付划转至宁东管委会；职工医疗保险、城乡居民医疗保险、生育保险三项险种属于银川市市级统筹；机关事业单位养老保险自治区统筹，故这四项基金预算不在宁东管委会反映；失业保险基金因失业相关工作未移交，且宁东管委会无相应机构，各项失业保险支出均在灵武市办理，年底结算后，由宁东管委会支付失业基金支出，故2019年宁东管委会失业基金预算纳入灵武市编制。待此项工作移交后，再由宁东管委会编制预算。</w:t>
      </w:r>
    </w:p>
    <w:p>
      <w:pPr>
        <w:spacing w:line="56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2018年，宁东基地社保基金收入完成14681万元。其中：辖区内城镇职工基本养老保险基金收入完成7468万元，统筹城乡居民养老保险收入完成657万元，</w:t>
      </w:r>
      <w:r>
        <w:rPr>
          <w:rFonts w:hint="eastAsia" w:ascii="仿宋_GB2312" w:hAnsi="仿宋" w:eastAsia="仿宋_GB2312"/>
          <w:kern w:val="0"/>
          <w:sz w:val="32"/>
          <w:szCs w:val="32"/>
        </w:rPr>
        <w:t>工伤保险收入完成6556万元。</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2.社保基金支出情况</w:t>
      </w:r>
    </w:p>
    <w:p>
      <w:pPr>
        <w:spacing w:line="560" w:lineRule="exact"/>
        <w:ind w:firstLine="640" w:firstLineChars="200"/>
        <w:rPr>
          <w:rFonts w:ascii="仿宋_GB2312" w:hAnsi="宋体" w:eastAsia="仿宋_GB2312" w:cs="宋体"/>
          <w:kern w:val="0"/>
          <w:sz w:val="32"/>
          <w:szCs w:val="32"/>
        </w:rPr>
      </w:pPr>
      <w:r>
        <w:rPr>
          <w:rFonts w:hint="eastAsia" w:ascii="仿宋_GB2312" w:hAnsi="仿宋" w:eastAsia="仿宋_GB2312"/>
          <w:sz w:val="32"/>
          <w:szCs w:val="32"/>
        </w:rPr>
        <w:t>2019年，宁东基地社保基金支出7170万元。其中：辖区内城镇职工基本养老保险基金支出260万元，统筹城乡居民养老保险支出167万元，</w:t>
      </w:r>
      <w:r>
        <w:rPr>
          <w:rFonts w:hint="eastAsia" w:ascii="仿宋_GB2312" w:hAnsi="仿宋" w:eastAsia="仿宋_GB2312"/>
          <w:kern w:val="0"/>
          <w:sz w:val="32"/>
          <w:szCs w:val="32"/>
        </w:rPr>
        <w:t>工伤保险支出6743万元。</w:t>
      </w:r>
    </w:p>
    <w:p>
      <w:pPr>
        <w:spacing w:line="560" w:lineRule="exact"/>
        <w:ind w:firstLine="643" w:firstLineChars="200"/>
        <w:rPr>
          <w:rFonts w:ascii="黑体" w:hAnsi="宋体" w:eastAsia="黑体" w:cs="宋体"/>
          <w:b/>
          <w:bCs/>
          <w:kern w:val="0"/>
          <w:sz w:val="32"/>
          <w:szCs w:val="32"/>
        </w:rPr>
      </w:pPr>
      <w:r>
        <w:rPr>
          <w:rFonts w:hint="eastAsia" w:ascii="黑体" w:hAnsi="宋体" w:eastAsia="黑体" w:cs="宋体"/>
          <w:b/>
          <w:bCs/>
          <w:kern w:val="0"/>
          <w:sz w:val="32"/>
          <w:szCs w:val="32"/>
        </w:rPr>
        <w:t>二、2019年财政预算安排意见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编制2019年财政预算（草案）的总体思路是</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以习近平新时代中国特色社会主义思想为指导，全面贯彻党的十九大和十九届二中、三中全会、中央经济工作会议及自治区第十二次党代会精神，贯彻“四个定位”的新要求，按照“12111”发展战略，坚持稳中求进工作总基调，坚持新发展理念，坚持推动高质量发展，确保完成当年各项财政收入增长的目标任务；在保障“三保”支出的基础上，坚持厉行节约，树立过紧日子的思想，严格压缩一般性支出；进一步深化财政改革，继续实施积极的财政政策，优化财政支出结构，充分发挥财政资金效益，着力保障与改善民生的基础上，深入实施“三大战略”，培育壮大新动能，继续加大对园区基础设施建设、促进产业发展、科技创新、环保安全等重点领域支持力度；继续打好三大攻坚战，加强地方政府债务管理，积极防范化解地方政府债务风险。</w:t>
      </w:r>
    </w:p>
    <w:p>
      <w:pPr>
        <w:spacing w:line="560" w:lineRule="exact"/>
        <w:ind w:left="420" w:left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（一）2019年财政可用财力</w:t>
      </w:r>
    </w:p>
    <w:p>
      <w:pPr>
        <w:widowControl/>
        <w:shd w:val="clear" w:color="auto" w:fill="FFFFFF"/>
        <w:spacing w:line="560" w:lineRule="exact"/>
        <w:ind w:firstLine="643" w:firstLineChars="200"/>
        <w:jc w:val="left"/>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1.财政收入预算情况</w:t>
      </w:r>
    </w:p>
    <w:p>
      <w:pPr>
        <w:widowControl/>
        <w:shd w:val="clear" w:color="auto" w:fill="FFFFFF"/>
        <w:spacing w:line="560" w:lineRule="exact"/>
        <w:ind w:firstLine="643" w:firstLineChars="200"/>
        <w:jc w:val="left"/>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（1）一般公共财政预算收入。</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在分析2018年宁东基地实现收入的基础上，综合分析2019年国际国内经济运行中存在的一些不确定因素及宁东基地稳增长、调结构、促改革等政策要求，本着积极稳妥的原则，将2019年宁东基地一般公共预算收入增长目标确定为10%。</w:t>
      </w:r>
    </w:p>
    <w:p>
      <w:pPr>
        <w:widowControl/>
        <w:shd w:val="clear" w:color="auto" w:fill="FFFFFF"/>
        <w:spacing w:line="560" w:lineRule="exact"/>
        <w:ind w:firstLine="480" w:firstLineChars="15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2019年管委会拟安排一般预算收入266,127万元，较2018年增长10%，其中：税收收入241,770万元，增长10.28%；非税收入24,357万元，增长7.30%</w:t>
      </w:r>
      <w:r>
        <w:rPr>
          <w:rFonts w:hint="eastAsia" w:ascii="仿宋_GB2312" w:eastAsia="仿宋_GB2312"/>
          <w:sz w:val="32"/>
          <w:szCs w:val="32"/>
          <w:shd w:val="clear" w:color="auto" w:fill="FFFFFF"/>
        </w:rPr>
        <w:t>。</w:t>
      </w:r>
    </w:p>
    <w:p>
      <w:pPr>
        <w:widowControl/>
        <w:shd w:val="clear" w:color="auto" w:fill="FFFFFF"/>
        <w:spacing w:line="5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2019年宁东基地一般公共预算收入预计表</w:t>
      </w:r>
    </w:p>
    <w:p>
      <w:pPr>
        <w:widowControl/>
        <w:shd w:val="clear" w:color="auto" w:fill="FFFFFF"/>
        <w:spacing w:line="240" w:lineRule="atLeast"/>
        <w:jc w:val="left"/>
        <w:rPr>
          <w:rFonts w:ascii="仿宋_GB2312" w:hAnsi="宋体" w:eastAsia="仿宋_GB2312" w:cs="宋体"/>
          <w:kern w:val="0"/>
          <w:sz w:val="24"/>
        </w:rPr>
      </w:pPr>
      <w:r>
        <w:rPr>
          <w:rFonts w:hint="eastAsia" w:ascii="仿宋_GB2312" w:hAnsi="宋体" w:eastAsia="仿宋_GB2312" w:cs="宋体"/>
          <w:kern w:val="0"/>
          <w:sz w:val="24"/>
        </w:rPr>
        <w:t xml:space="preserve">                                                            单位：万元</w:t>
      </w:r>
    </w:p>
    <w:tbl>
      <w:tblPr>
        <w:tblStyle w:val="7"/>
        <w:tblW w:w="8363" w:type="dxa"/>
        <w:tblInd w:w="250" w:type="dxa"/>
        <w:tblLayout w:type="fixed"/>
        <w:tblCellMar>
          <w:top w:w="0" w:type="dxa"/>
          <w:left w:w="108" w:type="dxa"/>
          <w:bottom w:w="0" w:type="dxa"/>
          <w:right w:w="108" w:type="dxa"/>
        </w:tblCellMar>
      </w:tblPr>
      <w:tblGrid>
        <w:gridCol w:w="1843"/>
        <w:gridCol w:w="2840"/>
        <w:gridCol w:w="1271"/>
        <w:gridCol w:w="1275"/>
        <w:gridCol w:w="1134"/>
      </w:tblGrid>
      <w:tr>
        <w:tblPrEx>
          <w:tblCellMar>
            <w:top w:w="0" w:type="dxa"/>
            <w:left w:w="108" w:type="dxa"/>
            <w:bottom w:w="0" w:type="dxa"/>
            <w:right w:w="108" w:type="dxa"/>
          </w:tblCellMar>
        </w:tblPrEx>
        <w:trPr>
          <w:trHeight w:val="411" w:hRule="atLeast"/>
        </w:trPr>
        <w:tc>
          <w:tcPr>
            <w:tcW w:w="1843"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类 别</w:t>
            </w:r>
          </w:p>
        </w:tc>
        <w:tc>
          <w:tcPr>
            <w:tcW w:w="2840" w:type="dxa"/>
            <w:tcBorders>
              <w:top w:val="single" w:color="000000" w:sz="8" w:space="0"/>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 目</w:t>
            </w:r>
          </w:p>
        </w:tc>
        <w:tc>
          <w:tcPr>
            <w:tcW w:w="1271"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2018年</w:t>
            </w:r>
          </w:p>
        </w:tc>
        <w:tc>
          <w:tcPr>
            <w:tcW w:w="1275"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2019年</w:t>
            </w:r>
          </w:p>
        </w:tc>
        <w:tc>
          <w:tcPr>
            <w:tcW w:w="1134"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增长率</w:t>
            </w:r>
          </w:p>
        </w:tc>
      </w:tr>
      <w:tr>
        <w:tblPrEx>
          <w:tblCellMar>
            <w:top w:w="0" w:type="dxa"/>
            <w:left w:w="108" w:type="dxa"/>
            <w:bottom w:w="0" w:type="dxa"/>
            <w:right w:w="108" w:type="dxa"/>
          </w:tblCellMar>
        </w:tblPrEx>
        <w:trPr>
          <w:trHeight w:val="411" w:hRule="atLeast"/>
        </w:trPr>
        <w:tc>
          <w:tcPr>
            <w:tcW w:w="1843"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一、税收收入</w:t>
            </w: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增值税(含营业税)</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143,388</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159,437</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11.19%</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企业所得税</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11,096</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12,316</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10.99%</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个人所得税</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5,757</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4,045</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-29.74%</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城市维护建设税</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25,683</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28,508</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11.00%</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房产税</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12,837</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14,249</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11.00%</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环保税</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2,500</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3,000</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20.00%</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其他税收收入</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17,973</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20,215</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12.47%</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税收收入小计：</w:t>
            </w:r>
          </w:p>
        </w:tc>
        <w:tc>
          <w:tcPr>
            <w:tcW w:w="1271" w:type="dxa"/>
            <w:tcBorders>
              <w:top w:val="nil"/>
              <w:left w:val="nil"/>
              <w:bottom w:val="single" w:color="000000" w:sz="8" w:space="0"/>
              <w:right w:val="single" w:color="000000" w:sz="8" w:space="0"/>
            </w:tcBorders>
            <w:shd w:val="clear" w:color="auto" w:fill="D7D7D7"/>
            <w:vAlign w:val="center"/>
          </w:tcPr>
          <w:p>
            <w:pPr>
              <w:widowControl/>
              <w:jc w:val="center"/>
              <w:textAlignment w:val="center"/>
              <w:rPr>
                <w:rFonts w:ascii="仿宋_GB2312" w:hAnsi="宋体" w:eastAsia="仿宋_GB2312" w:cs="宋体"/>
                <w:b/>
                <w:bCs/>
                <w:kern w:val="0"/>
                <w:sz w:val="22"/>
                <w:szCs w:val="22"/>
              </w:rPr>
            </w:pPr>
            <w:r>
              <w:rPr>
                <w:rFonts w:hint="eastAsia" w:ascii="仿宋_GB2312" w:hAnsi="宋体" w:eastAsia="仿宋_GB2312" w:cs="仿宋_GB2312"/>
                <w:b/>
                <w:color w:val="000000"/>
                <w:kern w:val="0"/>
                <w:sz w:val="22"/>
                <w:szCs w:val="22"/>
              </w:rPr>
              <w:t>219,234</w:t>
            </w:r>
          </w:p>
        </w:tc>
        <w:tc>
          <w:tcPr>
            <w:tcW w:w="1275" w:type="dxa"/>
            <w:tcBorders>
              <w:top w:val="nil"/>
              <w:left w:val="nil"/>
              <w:bottom w:val="single" w:color="000000" w:sz="8" w:space="0"/>
              <w:right w:val="single" w:color="000000" w:sz="8" w:space="0"/>
            </w:tcBorders>
            <w:shd w:val="clear" w:color="auto" w:fill="D7D7D7"/>
            <w:vAlign w:val="center"/>
          </w:tcPr>
          <w:p>
            <w:pPr>
              <w:widowControl/>
              <w:jc w:val="center"/>
              <w:textAlignment w:val="center"/>
              <w:rPr>
                <w:rFonts w:ascii="仿宋_GB2312" w:hAnsi="宋体" w:eastAsia="仿宋_GB2312" w:cs="宋体"/>
                <w:b/>
                <w:bCs/>
                <w:kern w:val="0"/>
                <w:sz w:val="22"/>
                <w:szCs w:val="22"/>
              </w:rPr>
            </w:pPr>
            <w:r>
              <w:rPr>
                <w:rFonts w:hint="eastAsia" w:ascii="仿宋_GB2312" w:hAnsi="宋体" w:eastAsia="仿宋_GB2312" w:cs="仿宋_GB2312"/>
                <w:b/>
                <w:color w:val="000000"/>
                <w:kern w:val="0"/>
                <w:sz w:val="22"/>
                <w:szCs w:val="22"/>
                <w:lang w:bidi="ar"/>
              </w:rPr>
              <w:t>241,770</w:t>
            </w:r>
          </w:p>
        </w:tc>
        <w:tc>
          <w:tcPr>
            <w:tcW w:w="1134" w:type="dxa"/>
            <w:tcBorders>
              <w:top w:val="nil"/>
              <w:left w:val="nil"/>
              <w:bottom w:val="single" w:color="000000" w:sz="8" w:space="0"/>
              <w:right w:val="single" w:color="000000" w:sz="8" w:space="0"/>
            </w:tcBorders>
            <w:shd w:val="clear" w:color="auto" w:fill="D7D7D7"/>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b/>
                <w:color w:val="000000"/>
                <w:kern w:val="0"/>
                <w:sz w:val="22"/>
                <w:szCs w:val="22"/>
                <w:lang w:bidi="ar"/>
              </w:rPr>
              <w:t>10.28%</w:t>
            </w:r>
          </w:p>
        </w:tc>
      </w:tr>
      <w:tr>
        <w:tblPrEx>
          <w:tblCellMar>
            <w:top w:w="0" w:type="dxa"/>
            <w:left w:w="108" w:type="dxa"/>
            <w:bottom w:w="0" w:type="dxa"/>
            <w:right w:w="108" w:type="dxa"/>
          </w:tblCellMar>
        </w:tblPrEx>
        <w:trPr>
          <w:trHeight w:val="411" w:hRule="atLeast"/>
        </w:trPr>
        <w:tc>
          <w:tcPr>
            <w:tcW w:w="1843" w:type="dxa"/>
            <w:vMerge w:val="restart"/>
            <w:tcBorders>
              <w:top w:val="nil"/>
              <w:left w:val="single" w:color="000000" w:sz="8" w:space="0"/>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二、非税收入</w:t>
            </w: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教育附加费</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17,621</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 xml:space="preserve"> 19,647 </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11.50%</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其他非税收入</w:t>
            </w:r>
          </w:p>
        </w:tc>
        <w:tc>
          <w:tcPr>
            <w:tcW w:w="1271"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rPr>
              <w:t>5,079</w:t>
            </w:r>
          </w:p>
        </w:tc>
        <w:tc>
          <w:tcPr>
            <w:tcW w:w="1275"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 xml:space="preserve"> 4,710 </w:t>
            </w:r>
          </w:p>
        </w:tc>
        <w:tc>
          <w:tcPr>
            <w:tcW w:w="1134" w:type="dxa"/>
            <w:tcBorders>
              <w:top w:val="nil"/>
              <w:left w:val="nil"/>
              <w:bottom w:val="single" w:color="000000" w:sz="8" w:space="0"/>
              <w:right w:val="single" w:color="000000" w:sz="8" w:space="0"/>
            </w:tcBorders>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color w:val="000000"/>
                <w:kern w:val="0"/>
                <w:sz w:val="22"/>
                <w:szCs w:val="22"/>
                <w:lang w:bidi="ar"/>
              </w:rPr>
              <w:t>-7.27%</w:t>
            </w:r>
          </w:p>
        </w:tc>
      </w:tr>
      <w:tr>
        <w:tblPrEx>
          <w:tblCellMar>
            <w:top w:w="0" w:type="dxa"/>
            <w:left w:w="108" w:type="dxa"/>
            <w:bottom w:w="0" w:type="dxa"/>
            <w:right w:w="108" w:type="dxa"/>
          </w:tblCellMar>
        </w:tblPrEx>
        <w:trPr>
          <w:trHeight w:val="411" w:hRule="atLeast"/>
        </w:trPr>
        <w:tc>
          <w:tcPr>
            <w:tcW w:w="1843"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ascii="仿宋_GB2312" w:hAnsi="宋体" w:eastAsia="仿宋_GB2312" w:cs="宋体"/>
                <w:kern w:val="0"/>
                <w:sz w:val="22"/>
                <w:szCs w:val="22"/>
              </w:rPr>
            </w:pPr>
          </w:p>
        </w:tc>
        <w:tc>
          <w:tcPr>
            <w:tcW w:w="2840" w:type="dxa"/>
            <w:tcBorders>
              <w:top w:val="nil"/>
              <w:left w:val="nil"/>
              <w:bottom w:val="single" w:color="000000" w:sz="8" w:space="0"/>
              <w:right w:val="single" w:color="000000" w:sz="8" w:space="0"/>
            </w:tcBorders>
            <w:shd w:val="clear" w:color="auto" w:fill="D7D7D7"/>
            <w:vAlign w:val="center"/>
          </w:tcPr>
          <w:p>
            <w:pPr>
              <w:widowControl/>
              <w:jc w:val="center"/>
              <w:rPr>
                <w:rFonts w:ascii="仿宋_GB2312" w:hAnsi="宋体" w:eastAsia="仿宋_GB2312" w:cs="宋体"/>
                <w:b/>
                <w:bCs/>
                <w:kern w:val="0"/>
                <w:sz w:val="22"/>
                <w:szCs w:val="22"/>
              </w:rPr>
            </w:pPr>
            <w:r>
              <w:rPr>
                <w:rFonts w:hint="eastAsia" w:ascii="仿宋_GB2312" w:hAnsi="宋体" w:eastAsia="仿宋_GB2312" w:cs="宋体"/>
                <w:b/>
                <w:bCs/>
                <w:kern w:val="0"/>
                <w:sz w:val="22"/>
                <w:szCs w:val="22"/>
              </w:rPr>
              <w:t>非税收入小计：</w:t>
            </w:r>
          </w:p>
        </w:tc>
        <w:tc>
          <w:tcPr>
            <w:tcW w:w="1271" w:type="dxa"/>
            <w:tcBorders>
              <w:top w:val="nil"/>
              <w:left w:val="nil"/>
              <w:bottom w:val="single" w:color="000000" w:sz="8" w:space="0"/>
              <w:right w:val="single" w:color="000000" w:sz="8" w:space="0"/>
            </w:tcBorders>
            <w:shd w:val="clear" w:color="auto" w:fill="D7D7D7"/>
            <w:vAlign w:val="center"/>
          </w:tcPr>
          <w:p>
            <w:pPr>
              <w:widowControl/>
              <w:jc w:val="center"/>
              <w:textAlignment w:val="center"/>
              <w:rPr>
                <w:rFonts w:ascii="仿宋_GB2312" w:hAnsi="宋体" w:eastAsia="仿宋_GB2312" w:cs="宋体"/>
                <w:b/>
                <w:bCs/>
                <w:kern w:val="0"/>
                <w:sz w:val="22"/>
                <w:szCs w:val="22"/>
              </w:rPr>
            </w:pPr>
            <w:r>
              <w:rPr>
                <w:rFonts w:hint="eastAsia" w:ascii="仿宋_GB2312" w:hAnsi="宋体" w:eastAsia="仿宋_GB2312" w:cs="仿宋_GB2312"/>
                <w:b/>
                <w:color w:val="000000"/>
                <w:kern w:val="0"/>
                <w:sz w:val="22"/>
                <w:szCs w:val="22"/>
              </w:rPr>
              <w:t>22,700</w:t>
            </w:r>
          </w:p>
        </w:tc>
        <w:tc>
          <w:tcPr>
            <w:tcW w:w="1275" w:type="dxa"/>
            <w:tcBorders>
              <w:top w:val="nil"/>
              <w:left w:val="nil"/>
              <w:bottom w:val="single" w:color="000000" w:sz="8" w:space="0"/>
              <w:right w:val="single" w:color="000000" w:sz="8" w:space="0"/>
            </w:tcBorders>
            <w:shd w:val="clear" w:color="auto" w:fill="D7D7D7"/>
            <w:vAlign w:val="center"/>
          </w:tcPr>
          <w:p>
            <w:pPr>
              <w:widowControl/>
              <w:jc w:val="center"/>
              <w:textAlignment w:val="center"/>
              <w:rPr>
                <w:rFonts w:ascii="仿宋_GB2312" w:hAnsi="宋体" w:eastAsia="仿宋_GB2312" w:cs="宋体"/>
                <w:b/>
                <w:bCs/>
                <w:kern w:val="0"/>
                <w:sz w:val="22"/>
                <w:szCs w:val="22"/>
              </w:rPr>
            </w:pPr>
            <w:r>
              <w:rPr>
                <w:rFonts w:hint="eastAsia" w:ascii="仿宋_GB2312" w:hAnsi="宋体" w:eastAsia="仿宋_GB2312" w:cs="仿宋_GB2312"/>
                <w:b/>
                <w:color w:val="000000"/>
                <w:kern w:val="0"/>
                <w:sz w:val="22"/>
                <w:szCs w:val="22"/>
                <w:lang w:bidi="ar"/>
              </w:rPr>
              <w:t xml:space="preserve"> 24,357 </w:t>
            </w:r>
          </w:p>
        </w:tc>
        <w:tc>
          <w:tcPr>
            <w:tcW w:w="1134" w:type="dxa"/>
            <w:tcBorders>
              <w:top w:val="nil"/>
              <w:left w:val="nil"/>
              <w:bottom w:val="single" w:color="000000" w:sz="8" w:space="0"/>
              <w:right w:val="single" w:color="000000" w:sz="8" w:space="0"/>
            </w:tcBorders>
            <w:shd w:val="clear" w:color="auto" w:fill="D7D7D7"/>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b/>
                <w:color w:val="000000"/>
                <w:kern w:val="0"/>
                <w:sz w:val="22"/>
                <w:szCs w:val="22"/>
                <w:lang w:bidi="ar"/>
              </w:rPr>
              <w:t>7.30%</w:t>
            </w:r>
          </w:p>
        </w:tc>
      </w:tr>
      <w:tr>
        <w:tblPrEx>
          <w:tblCellMar>
            <w:top w:w="0" w:type="dxa"/>
            <w:left w:w="108" w:type="dxa"/>
            <w:bottom w:w="0" w:type="dxa"/>
            <w:right w:w="108" w:type="dxa"/>
          </w:tblCellMar>
        </w:tblPrEx>
        <w:trPr>
          <w:trHeight w:val="411" w:hRule="atLeast"/>
        </w:trPr>
        <w:tc>
          <w:tcPr>
            <w:tcW w:w="4683" w:type="dxa"/>
            <w:gridSpan w:val="2"/>
            <w:tcBorders>
              <w:top w:val="single" w:color="000000" w:sz="8" w:space="0"/>
              <w:left w:val="single" w:color="000000" w:sz="8" w:space="0"/>
              <w:bottom w:val="single" w:color="000000" w:sz="8" w:space="0"/>
              <w:right w:val="single" w:color="000000" w:sz="8" w:space="0"/>
            </w:tcBorders>
            <w:shd w:val="clear" w:color="auto" w:fill="BEBEBE"/>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公共预算收入合计：</w:t>
            </w:r>
          </w:p>
        </w:tc>
        <w:tc>
          <w:tcPr>
            <w:tcW w:w="1271" w:type="dxa"/>
            <w:tcBorders>
              <w:top w:val="nil"/>
              <w:left w:val="nil"/>
              <w:bottom w:val="single" w:color="000000" w:sz="8" w:space="0"/>
              <w:right w:val="single" w:color="000000" w:sz="8" w:space="0"/>
            </w:tcBorders>
            <w:shd w:val="clear" w:color="auto" w:fill="BEBEBE"/>
            <w:vAlign w:val="center"/>
          </w:tcPr>
          <w:p>
            <w:pPr>
              <w:widowControl/>
              <w:jc w:val="center"/>
              <w:textAlignment w:val="center"/>
              <w:rPr>
                <w:rFonts w:ascii="仿宋_GB2312" w:hAnsi="宋体" w:eastAsia="仿宋_GB2312" w:cs="宋体"/>
                <w:b/>
                <w:bCs/>
                <w:kern w:val="0"/>
                <w:sz w:val="24"/>
              </w:rPr>
            </w:pPr>
            <w:r>
              <w:rPr>
                <w:rFonts w:hint="eastAsia" w:ascii="仿宋_GB2312" w:hAnsi="宋体" w:eastAsia="仿宋_GB2312" w:cs="仿宋_GB2312"/>
                <w:b/>
                <w:color w:val="000000"/>
                <w:kern w:val="0"/>
                <w:sz w:val="24"/>
              </w:rPr>
              <w:t>241,934</w:t>
            </w:r>
          </w:p>
        </w:tc>
        <w:tc>
          <w:tcPr>
            <w:tcW w:w="1275" w:type="dxa"/>
            <w:tcBorders>
              <w:top w:val="nil"/>
              <w:left w:val="nil"/>
              <w:bottom w:val="single" w:color="000000" w:sz="8" w:space="0"/>
              <w:right w:val="single" w:color="000000" w:sz="8" w:space="0"/>
            </w:tcBorders>
            <w:shd w:val="clear" w:color="auto" w:fill="BEBEBE"/>
            <w:vAlign w:val="center"/>
          </w:tcPr>
          <w:p>
            <w:pPr>
              <w:widowControl/>
              <w:jc w:val="center"/>
              <w:textAlignment w:val="center"/>
              <w:rPr>
                <w:rFonts w:ascii="仿宋_GB2312" w:hAnsi="宋体" w:eastAsia="仿宋_GB2312" w:cs="宋体"/>
                <w:b/>
                <w:bCs/>
                <w:kern w:val="0"/>
                <w:sz w:val="24"/>
              </w:rPr>
            </w:pPr>
            <w:r>
              <w:rPr>
                <w:rFonts w:hint="eastAsia" w:ascii="仿宋_GB2312" w:hAnsi="宋体" w:eastAsia="仿宋_GB2312" w:cs="仿宋_GB2312"/>
                <w:b/>
                <w:color w:val="000000"/>
                <w:kern w:val="0"/>
                <w:sz w:val="24"/>
                <w:lang w:bidi="ar"/>
              </w:rPr>
              <w:t xml:space="preserve"> 266,127 </w:t>
            </w:r>
          </w:p>
        </w:tc>
        <w:tc>
          <w:tcPr>
            <w:tcW w:w="1134" w:type="dxa"/>
            <w:tcBorders>
              <w:top w:val="nil"/>
              <w:left w:val="nil"/>
              <w:bottom w:val="single" w:color="000000" w:sz="8" w:space="0"/>
              <w:right w:val="single" w:color="000000" w:sz="8" w:space="0"/>
            </w:tcBorders>
            <w:shd w:val="clear" w:color="auto" w:fill="BEBEBE"/>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仿宋_GB2312"/>
                <w:b/>
                <w:color w:val="000000"/>
                <w:kern w:val="0"/>
                <w:sz w:val="24"/>
                <w:lang w:bidi="ar"/>
              </w:rPr>
              <w:t>10.00%</w:t>
            </w:r>
          </w:p>
        </w:tc>
      </w:tr>
    </w:tbl>
    <w:p>
      <w:pPr>
        <w:spacing w:line="560" w:lineRule="exact"/>
        <w:rPr>
          <w:b/>
          <w:bCs/>
          <w:szCs w:val="32"/>
        </w:rPr>
      </w:pPr>
    </w:p>
    <w:p>
      <w:pPr>
        <w:spacing w:line="560" w:lineRule="exact"/>
        <w:ind w:firstLine="633" w:firstLineChars="198"/>
        <w:rPr>
          <w:rFonts w:ascii="仿宋_GB2312" w:hAnsi="仿宋_GB2312" w:eastAsia="仿宋_GB2312" w:cs="仿宋_GB2312"/>
          <w:b/>
          <w:sz w:val="32"/>
          <w:szCs w:val="32"/>
        </w:rPr>
      </w:pPr>
      <w:r>
        <w:rPr>
          <w:rFonts w:hint="eastAsia" w:ascii="仿宋_GB2312" w:eastAsia="仿宋_GB2312"/>
          <w:sz w:val="32"/>
          <w:szCs w:val="32"/>
        </w:rPr>
        <w:t>（2）政府基金预算收入。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本着积极稳妥的原则，</w:t>
      </w:r>
      <w:r>
        <w:rPr>
          <w:rFonts w:hint="eastAsia" w:ascii="仿宋_GB2312" w:hAnsi="仿宋_GB2312" w:eastAsia="仿宋_GB2312" w:cs="仿宋_GB2312"/>
          <w:color w:val="000000"/>
          <w:kern w:val="0"/>
          <w:sz w:val="32"/>
          <w:szCs w:val="32"/>
        </w:rPr>
        <w:t>在综合考虑城市公用事业附加收入取消和基地招商企业入驻与</w:t>
      </w:r>
      <w:r>
        <w:rPr>
          <w:rFonts w:hint="eastAsia" w:ascii="仿宋_GB2312" w:hAnsi="仿宋_GB2312" w:eastAsia="仿宋_GB2312" w:cs="仿宋_GB2312"/>
          <w:sz w:val="32"/>
          <w:szCs w:val="32"/>
        </w:rPr>
        <w:t>2019年土地指标评估价的基础上，管委会政府性基金预算收入为20,000万元，较上年下降30.43%。</w:t>
      </w:r>
    </w:p>
    <w:p>
      <w:pPr>
        <w:spacing w:line="560" w:lineRule="exact"/>
        <w:ind w:firstLine="633" w:firstLineChars="198"/>
        <w:rPr>
          <w:rFonts w:ascii="仿宋_GB2312" w:eastAsia="仿宋_GB2312"/>
          <w:sz w:val="32"/>
          <w:szCs w:val="32"/>
        </w:rPr>
      </w:pPr>
      <w:r>
        <w:rPr>
          <w:rFonts w:hint="eastAsia" w:ascii="仿宋_GB2312" w:eastAsia="仿宋_GB2312"/>
          <w:sz w:val="32"/>
          <w:szCs w:val="32"/>
        </w:rPr>
        <w:t>（3）国有资本经营预算收入。</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2019年管委会国有资本经营预算收入1,057万元，较上年增长10.2%，其中：宁东开发投资公司预计上解国有资本经营收入780万元；宁东担保公司预计上解国有资本经营收入277万元。</w:t>
      </w:r>
    </w:p>
    <w:p>
      <w:pPr>
        <w:pStyle w:val="2"/>
        <w:spacing w:line="640" w:lineRule="exact"/>
        <w:ind w:firstLine="643" w:firstLineChars="200"/>
        <w:rPr>
          <w:szCs w:val="32"/>
        </w:rPr>
      </w:pPr>
      <w:r>
        <w:rPr>
          <w:rFonts w:hint="eastAsia"/>
          <w:b/>
          <w:bCs/>
          <w:szCs w:val="32"/>
        </w:rPr>
        <w:t>2. 2019年财政可用财力</w:t>
      </w:r>
    </w:p>
    <w:p>
      <w:pPr>
        <w:pStyle w:val="2"/>
        <w:spacing w:line="640" w:lineRule="exact"/>
        <w:ind w:firstLine="640" w:firstLineChars="200"/>
        <w:rPr>
          <w:szCs w:val="32"/>
        </w:rPr>
      </w:pPr>
      <w:r>
        <w:rPr>
          <w:rFonts w:hint="eastAsia"/>
          <w:szCs w:val="32"/>
        </w:rPr>
        <w:t>（1）2018年新财税体制意见</w:t>
      </w:r>
    </w:p>
    <w:p>
      <w:pPr>
        <w:pStyle w:val="2"/>
        <w:spacing w:line="640" w:lineRule="exact"/>
        <w:ind w:firstLine="640" w:firstLineChars="200"/>
        <w:rPr>
          <w:szCs w:val="32"/>
        </w:rPr>
      </w:pPr>
      <w:r>
        <w:rPr>
          <w:rFonts w:hint="eastAsia"/>
          <w:szCs w:val="32"/>
        </w:rPr>
        <w:t>根据自治区财政厅《关于进一步完善宁东能源基地财税管理体制的实施方案》（宁财（预）发﹝2018﹞174号），宁东基地财税体制主要内容为：一是根据现有财税政策实行收入上解。继续实行2011年体制上解政策，即上解自治区财政6.3亿元；按照2016年营改增体制改革要求，管委会财政每年负担因增值税收入划转产生的上划基数为5.04亿元。二是实行定额补助政策。自治区每年定额补助宁东基地3亿元。三是实行自治区级收入增量返还政策。自2017年至2019年三年内，自治区每年在宁东基地的税收收入较2016年的增量（不含资源税），按一定比例补助给宁东基地，逐步退坡，比例逐年递减。2017-2019年分别按照税收收入较2016年增量的100%、90%、80%的比例补助管委会。</w:t>
      </w:r>
    </w:p>
    <w:p>
      <w:pPr>
        <w:pStyle w:val="2"/>
        <w:spacing w:line="640" w:lineRule="exact"/>
        <w:rPr>
          <w:szCs w:val="32"/>
        </w:rPr>
      </w:pPr>
      <w:r>
        <w:rPr>
          <w:rFonts w:hint="eastAsia"/>
          <w:szCs w:val="32"/>
        </w:rPr>
        <w:t>（2）一般公共财政预算收入及可用财力</w:t>
      </w:r>
    </w:p>
    <w:p>
      <w:pPr>
        <w:pStyle w:val="2"/>
        <w:spacing w:line="560" w:lineRule="exact"/>
        <w:ind w:firstLine="646"/>
        <w:rPr>
          <w:szCs w:val="32"/>
        </w:rPr>
      </w:pPr>
      <w:r>
        <w:rPr>
          <w:rFonts w:hint="eastAsia"/>
          <w:szCs w:val="32"/>
        </w:rPr>
        <w:t>结合自治区财政厅2018年宁东基地新财税体制意见，预计2019年一般公共预算可用财力267,646万元：本级可用财力为203,833万元，上级转移支付33,813万元，预算稳定调节基金调入30,000万元。详见下表。</w:t>
      </w:r>
    </w:p>
    <w:p>
      <w:pPr>
        <w:pStyle w:val="2"/>
        <w:spacing w:line="440" w:lineRule="exact"/>
        <w:ind w:firstLine="0"/>
        <w:jc w:val="center"/>
        <w:rPr>
          <w:color w:val="000000"/>
          <w:szCs w:val="32"/>
        </w:rPr>
      </w:pPr>
      <w:r>
        <w:rPr>
          <w:rFonts w:hint="eastAsia"/>
          <w:color w:val="000000"/>
          <w:szCs w:val="32"/>
        </w:rPr>
        <w:t>2019年宁东基地一般预算可用财力预计表</w:t>
      </w:r>
    </w:p>
    <w:p>
      <w:pPr>
        <w:pStyle w:val="2"/>
        <w:spacing w:line="440" w:lineRule="exact"/>
        <w:ind w:firstLine="0"/>
        <w:jc w:val="both"/>
        <w:rPr>
          <w:color w:val="000000"/>
          <w:sz w:val="24"/>
        </w:rPr>
      </w:pPr>
      <w:r>
        <w:rPr>
          <w:rFonts w:hint="eastAsia"/>
          <w:color w:val="000000"/>
          <w:sz w:val="24"/>
        </w:rPr>
        <w:t xml:space="preserve">                                                           单位：万元</w:t>
      </w:r>
    </w:p>
    <w:tbl>
      <w:tblPr>
        <w:tblStyle w:val="7"/>
        <w:tblW w:w="8505" w:type="dxa"/>
        <w:tblInd w:w="249" w:type="dxa"/>
        <w:tblLayout w:type="fixed"/>
        <w:tblCellMar>
          <w:top w:w="0" w:type="dxa"/>
          <w:left w:w="108" w:type="dxa"/>
          <w:bottom w:w="0" w:type="dxa"/>
          <w:right w:w="108" w:type="dxa"/>
        </w:tblCellMar>
      </w:tblPr>
      <w:tblGrid>
        <w:gridCol w:w="2410"/>
        <w:gridCol w:w="4111"/>
        <w:gridCol w:w="1984"/>
      </w:tblGrid>
      <w:tr>
        <w:tblPrEx>
          <w:tblCellMar>
            <w:top w:w="0" w:type="dxa"/>
            <w:left w:w="108" w:type="dxa"/>
            <w:bottom w:w="0" w:type="dxa"/>
            <w:right w:w="108" w:type="dxa"/>
          </w:tblCellMar>
        </w:tblPrEx>
        <w:trPr>
          <w:trHeight w:val="463" w:hRule="atLeast"/>
        </w:trPr>
        <w:tc>
          <w:tcPr>
            <w:tcW w:w="2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类 别</w:t>
            </w:r>
          </w:p>
        </w:tc>
        <w:tc>
          <w:tcPr>
            <w:tcW w:w="411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项 目</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金 额</w:t>
            </w:r>
          </w:p>
        </w:tc>
      </w:tr>
      <w:tr>
        <w:tblPrEx>
          <w:tblCellMar>
            <w:top w:w="0" w:type="dxa"/>
            <w:left w:w="108" w:type="dxa"/>
            <w:bottom w:w="0" w:type="dxa"/>
            <w:right w:w="108" w:type="dxa"/>
          </w:tblCellMar>
        </w:tblPrEx>
        <w:trPr>
          <w:trHeight w:val="340" w:hRule="atLeast"/>
        </w:trPr>
        <w:tc>
          <w:tcPr>
            <w:tcW w:w="241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一、本级公共预算可用财力</w:t>
            </w: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2018年本级公共财政预算收入</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266,127</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bottom w:val="single" w:color="auto" w:sz="4" w:space="0"/>
              <w:right w:val="single" w:color="auto" w:sz="4" w:space="0"/>
            </w:tcBorders>
            <w:vAlign w:val="center"/>
          </w:tcPr>
          <w:p>
            <w:pPr>
              <w:widowControl/>
              <w:jc w:val="cente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减：2011年体制上解基数</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62,294</w:t>
            </w:r>
          </w:p>
        </w:tc>
      </w:tr>
      <w:tr>
        <w:tblPrEx>
          <w:tblCellMar>
            <w:top w:w="0" w:type="dxa"/>
            <w:left w:w="108" w:type="dxa"/>
            <w:bottom w:w="0" w:type="dxa"/>
            <w:right w:w="108" w:type="dxa"/>
          </w:tblCellMar>
        </w:tblPrEx>
        <w:trPr>
          <w:trHeight w:val="340" w:hRule="atLeast"/>
        </w:trPr>
        <w:tc>
          <w:tcPr>
            <w:tcW w:w="241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2"/>
                <w:szCs w:val="22"/>
              </w:rPr>
            </w:pPr>
          </w:p>
        </w:tc>
        <w:tc>
          <w:tcPr>
            <w:tcW w:w="4111"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本级一般预算可用财力小计：</w:t>
            </w:r>
          </w:p>
        </w:tc>
        <w:tc>
          <w:tcPr>
            <w:tcW w:w="1984"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203,833</w:t>
            </w:r>
          </w:p>
        </w:tc>
      </w:tr>
      <w:tr>
        <w:tblPrEx>
          <w:tblCellMar>
            <w:top w:w="0" w:type="dxa"/>
            <w:left w:w="108" w:type="dxa"/>
            <w:bottom w:w="0" w:type="dxa"/>
            <w:right w:w="108" w:type="dxa"/>
          </w:tblCellMar>
        </w:tblPrEx>
        <w:trPr>
          <w:trHeight w:val="340" w:hRule="atLeast"/>
        </w:trPr>
        <w:tc>
          <w:tcPr>
            <w:tcW w:w="2410" w:type="dxa"/>
            <w:vMerge w:val="restart"/>
            <w:tcBorders>
              <w:top w:val="nil"/>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二、自治区财力性转移支付</w:t>
            </w: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结算补助收入（预计2亿元）</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70,026</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体制补助收入</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7,309</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color w:val="000000"/>
                <w:kern w:val="0"/>
                <w:sz w:val="22"/>
                <w:szCs w:val="22"/>
              </w:rPr>
              <w:t>减：2018年增值税上解数据</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-50,438</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资源枯竭型城市转移支付补助收入</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2,030</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均衡性转移支付收入</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452</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其他一般性转移支付收入</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766</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right w:val="single" w:color="auto" w:sz="4" w:space="0"/>
            </w:tcBorders>
            <w:vAlign w:val="center"/>
          </w:tcPr>
          <w:p>
            <w:pPr>
              <w:widowControl/>
              <w:jc w:val="center"/>
            </w:pPr>
          </w:p>
        </w:tc>
        <w:tc>
          <w:tcPr>
            <w:tcW w:w="4111"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专项转移支付</w:t>
            </w:r>
          </w:p>
        </w:tc>
        <w:tc>
          <w:tcPr>
            <w:tcW w:w="1984" w:type="dxa"/>
            <w:tcBorders>
              <w:top w:val="nil"/>
              <w:left w:val="nil"/>
              <w:bottom w:val="single" w:color="auto" w:sz="4" w:space="0"/>
              <w:right w:val="single" w:color="auto" w:sz="4" w:space="0"/>
            </w:tcBorders>
            <w:vAlign w:val="center"/>
          </w:tcPr>
          <w:p>
            <w:pPr>
              <w:widowControl/>
              <w:jc w:val="center"/>
              <w:rPr>
                <w:rFonts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3,668</w:t>
            </w:r>
          </w:p>
        </w:tc>
      </w:tr>
      <w:tr>
        <w:tblPrEx>
          <w:tblCellMar>
            <w:top w:w="0" w:type="dxa"/>
            <w:left w:w="108" w:type="dxa"/>
            <w:bottom w:w="0" w:type="dxa"/>
            <w:right w:w="108" w:type="dxa"/>
          </w:tblCellMar>
        </w:tblPrEx>
        <w:trPr>
          <w:trHeight w:val="340" w:hRule="atLeast"/>
        </w:trPr>
        <w:tc>
          <w:tcPr>
            <w:tcW w:w="24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kern w:val="0"/>
                <w:sz w:val="22"/>
                <w:szCs w:val="22"/>
              </w:rPr>
            </w:pPr>
          </w:p>
        </w:tc>
        <w:tc>
          <w:tcPr>
            <w:tcW w:w="4111"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转移支付小计：</w:t>
            </w:r>
          </w:p>
        </w:tc>
        <w:tc>
          <w:tcPr>
            <w:tcW w:w="1984"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33,813</w:t>
            </w:r>
          </w:p>
        </w:tc>
      </w:tr>
      <w:tr>
        <w:tblPrEx>
          <w:tblCellMar>
            <w:top w:w="0" w:type="dxa"/>
            <w:left w:w="108" w:type="dxa"/>
            <w:bottom w:w="0" w:type="dxa"/>
            <w:right w:w="108" w:type="dxa"/>
          </w:tblCellMar>
        </w:tblPrEx>
        <w:trPr>
          <w:trHeight w:val="340" w:hRule="atLeast"/>
        </w:trPr>
        <w:tc>
          <w:tcPr>
            <w:tcW w:w="24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kern w:val="0"/>
                <w:sz w:val="22"/>
                <w:szCs w:val="22"/>
              </w:rPr>
              <w:t>三、预算稳定调节基金调入</w:t>
            </w:r>
          </w:p>
        </w:tc>
        <w:tc>
          <w:tcPr>
            <w:tcW w:w="4111"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预算稳定调节基金调入</w:t>
            </w:r>
          </w:p>
        </w:tc>
        <w:tc>
          <w:tcPr>
            <w:tcW w:w="1984" w:type="dxa"/>
            <w:tcBorders>
              <w:top w:val="nil"/>
              <w:left w:val="nil"/>
              <w:bottom w:val="single" w:color="auto" w:sz="4" w:space="0"/>
              <w:right w:val="single" w:color="auto" w:sz="4" w:space="0"/>
            </w:tcBorders>
            <w:shd w:val="clear" w:color="auto" w:fill="D7D7D7"/>
            <w:vAlign w:val="center"/>
          </w:tcPr>
          <w:p>
            <w:pPr>
              <w:widowControl/>
              <w:jc w:val="center"/>
              <w:rPr>
                <w:rFonts w:ascii="仿宋_GB2312" w:hAnsi="仿宋_GB2312" w:eastAsia="仿宋_GB2312" w:cs="仿宋_GB2312"/>
                <w:b/>
                <w:bCs/>
                <w:kern w:val="0"/>
                <w:sz w:val="22"/>
                <w:szCs w:val="22"/>
              </w:rPr>
            </w:pPr>
            <w:r>
              <w:rPr>
                <w:rFonts w:hint="eastAsia" w:ascii="仿宋_GB2312" w:hAnsi="仿宋_GB2312" w:eastAsia="仿宋_GB2312" w:cs="仿宋_GB2312"/>
                <w:b/>
                <w:bCs/>
                <w:kern w:val="0"/>
                <w:sz w:val="22"/>
                <w:szCs w:val="22"/>
              </w:rPr>
              <w:t>30,000</w:t>
            </w:r>
          </w:p>
        </w:tc>
      </w:tr>
      <w:tr>
        <w:tblPrEx>
          <w:tblCellMar>
            <w:top w:w="0" w:type="dxa"/>
            <w:left w:w="108" w:type="dxa"/>
            <w:bottom w:w="0" w:type="dxa"/>
            <w:right w:w="108" w:type="dxa"/>
          </w:tblCellMar>
        </w:tblPrEx>
        <w:trPr>
          <w:trHeight w:val="340" w:hRule="atLeast"/>
        </w:trPr>
        <w:tc>
          <w:tcPr>
            <w:tcW w:w="6521" w:type="dxa"/>
            <w:gridSpan w:val="2"/>
            <w:tcBorders>
              <w:top w:val="single" w:color="auto" w:sz="4" w:space="0"/>
              <w:left w:val="single" w:color="auto" w:sz="4" w:space="0"/>
              <w:bottom w:val="single" w:color="auto" w:sz="4" w:space="0"/>
              <w:right w:val="single" w:color="auto" w:sz="4" w:space="0"/>
            </w:tcBorders>
            <w:shd w:val="clear" w:color="auto" w:fill="BEBEBE"/>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公共预算可用财力合计：</w:t>
            </w:r>
          </w:p>
        </w:tc>
        <w:tc>
          <w:tcPr>
            <w:tcW w:w="1984"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267,646</w:t>
            </w:r>
          </w:p>
        </w:tc>
      </w:tr>
    </w:tbl>
    <w:p>
      <w:pPr>
        <w:spacing w:line="460" w:lineRule="exact"/>
        <w:ind w:firstLine="633" w:firstLineChars="198"/>
        <w:rPr>
          <w:rFonts w:ascii="仿宋_GB2312" w:hAnsi="仿宋_GB2312" w:eastAsia="仿宋_GB2312" w:cs="仿宋_GB2312"/>
          <w:b/>
          <w:sz w:val="32"/>
          <w:szCs w:val="32"/>
        </w:rPr>
      </w:pPr>
      <w:r>
        <w:rPr>
          <w:rFonts w:hint="eastAsia" w:ascii="仿宋_GB2312" w:eastAsia="仿宋_GB2312"/>
          <w:sz w:val="32"/>
          <w:szCs w:val="32"/>
        </w:rPr>
        <w:t>（3）政府基金预算收入及可用财力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基金预算当年可用财力合计30,757万元，其中：收入20,000万元，上级补助收入3万元。上年结转10,754万元。</w:t>
      </w:r>
    </w:p>
    <w:p>
      <w:pPr>
        <w:spacing w:line="460" w:lineRule="exact"/>
        <w:ind w:firstLine="633" w:firstLineChars="198"/>
        <w:rPr>
          <w:rFonts w:ascii="仿宋_GB2312" w:eastAsia="仿宋_GB2312"/>
          <w:sz w:val="32"/>
          <w:szCs w:val="32"/>
        </w:rPr>
      </w:pPr>
      <w:r>
        <w:rPr>
          <w:rFonts w:hint="eastAsia" w:ascii="仿宋_GB2312" w:eastAsia="仿宋_GB2312"/>
          <w:sz w:val="32"/>
          <w:szCs w:val="32"/>
        </w:rPr>
        <w:t>（4）国有资本经营预算收入预算及可用财力</w:t>
      </w:r>
    </w:p>
    <w:p>
      <w:pPr>
        <w:spacing w:line="4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2019年宁东基地国有资本经营预算可用财力1,216万元，其中：宁东开发投资公司预计上解国有资本经营收入780万元；宁东担保公司预计上解国有资本经营收入277万元，上年结转159万元。</w:t>
      </w:r>
    </w:p>
    <w:p>
      <w:pPr>
        <w:spacing w:line="46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以上一般公共预算、政府性基金预算及国有资本经营预算可用财力总计为</w:t>
      </w:r>
      <w:r>
        <w:rPr>
          <w:rFonts w:hint="eastAsia" w:ascii="仿宋_GB2312" w:hAnsi="宋体" w:eastAsia="仿宋_GB2312" w:cs="宋体"/>
          <w:b/>
          <w:bCs/>
          <w:kern w:val="0"/>
          <w:sz w:val="32"/>
          <w:szCs w:val="32"/>
        </w:rPr>
        <w:t>299,619</w:t>
      </w:r>
      <w:r>
        <w:rPr>
          <w:rFonts w:hint="eastAsia" w:ascii="仿宋_GB2312" w:hAnsi="仿宋_GB2312" w:eastAsia="仿宋_GB2312" w:cs="仿宋_GB2312"/>
          <w:b/>
          <w:bCs/>
          <w:sz w:val="32"/>
          <w:szCs w:val="32"/>
        </w:rPr>
        <w:t>万元，较上年增加16.24%。</w:t>
      </w:r>
    </w:p>
    <w:p>
      <w:pPr>
        <w:spacing w:line="460" w:lineRule="exact"/>
        <w:ind w:left="420" w:left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（二）2019年财政预算安排</w:t>
      </w:r>
    </w:p>
    <w:p>
      <w:pPr>
        <w:spacing w:line="4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在编制2019年项目支出预算中，根据全口径预算管理要求，将一般公共财政预算、基金预算、国有资本经营预算、社保基金预算相结合，形成全口径预算。</w:t>
      </w:r>
    </w:p>
    <w:p>
      <w:pPr>
        <w:spacing w:line="4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2019年预计可用财力299,619万元，较上年257,751万元增加41,868万元，支出预算较上年增加16.24%。根据2019年基地经济发展态势，在充分考虑各方面的资金需求，在确保“保工资、保运转、保基本民生”支出的基础上，按照“促改革、调结构、促发展、防风险”的原则，围绕基地2019年重点工作，统筹安排各项支出，其中：基本支出12,132万元，项目支出287,487万元。详见下表：</w:t>
      </w:r>
    </w:p>
    <w:p>
      <w:pPr>
        <w:widowControl/>
        <w:shd w:val="clear" w:color="auto" w:fill="FFFFFF"/>
        <w:spacing w:line="440" w:lineRule="exact"/>
        <w:ind w:firstLine="6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2019年宁东基地支出预算汇总表</w:t>
      </w:r>
    </w:p>
    <w:p>
      <w:pPr>
        <w:widowControl/>
        <w:shd w:val="clear" w:color="auto" w:fill="FFFFFF"/>
        <w:spacing w:line="440" w:lineRule="exact"/>
        <w:ind w:firstLine="1881" w:firstLineChars="784"/>
        <w:jc w:val="left"/>
        <w:rPr>
          <w:rFonts w:ascii="仿宋_GB2312" w:hAnsi="宋体" w:eastAsia="仿宋_GB2312" w:cs="宋体"/>
          <w:kern w:val="0"/>
          <w:sz w:val="24"/>
        </w:rPr>
      </w:pPr>
      <w:r>
        <w:rPr>
          <w:rFonts w:hint="eastAsia" w:ascii="仿宋_GB2312" w:hAnsi="宋体" w:eastAsia="仿宋_GB2312" w:cs="宋体"/>
          <w:kern w:val="0"/>
          <w:sz w:val="24"/>
        </w:rPr>
        <w:t xml:space="preserve">                                             单位：万元</w:t>
      </w:r>
    </w:p>
    <w:tbl>
      <w:tblPr>
        <w:tblStyle w:val="7"/>
        <w:tblW w:w="8647"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701"/>
        <w:gridCol w:w="510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701" w:type="dxa"/>
            <w:vAlign w:val="center"/>
          </w:tcPr>
          <w:p>
            <w:pPr>
              <w:widowControl/>
              <w:jc w:val="center"/>
              <w:textAlignment w:val="center"/>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rPr>
              <w:t>类 别</w:t>
            </w:r>
          </w:p>
        </w:tc>
        <w:tc>
          <w:tcPr>
            <w:tcW w:w="5103" w:type="dxa"/>
            <w:vAlign w:val="center"/>
          </w:tcPr>
          <w:p>
            <w:pPr>
              <w:widowControl/>
              <w:jc w:val="center"/>
              <w:textAlignment w:val="center"/>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rPr>
              <w:t>项 目</w:t>
            </w:r>
          </w:p>
        </w:tc>
        <w:tc>
          <w:tcPr>
            <w:tcW w:w="1843" w:type="dxa"/>
            <w:vAlign w:val="center"/>
          </w:tcPr>
          <w:p>
            <w:pPr>
              <w:widowControl/>
              <w:jc w:val="center"/>
              <w:textAlignment w:val="center"/>
              <w:rPr>
                <w:rFonts w:ascii="仿宋_GB2312" w:hAnsi="宋体" w:eastAsia="仿宋_GB2312" w:cs="仿宋_GB2312"/>
                <w:bCs/>
                <w:color w:val="000000"/>
                <w:sz w:val="22"/>
                <w:szCs w:val="22"/>
              </w:rPr>
            </w:pPr>
            <w:r>
              <w:rPr>
                <w:rFonts w:hint="eastAsia" w:ascii="仿宋_GB2312" w:hAnsi="宋体" w:eastAsia="仿宋_GB2312" w:cs="仿宋_GB2312"/>
                <w:bCs/>
                <w:color w:val="000000"/>
                <w:kern w:val="0"/>
                <w:sz w:val="22"/>
                <w:szCs w:val="22"/>
              </w:rPr>
              <w:t>金 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restart"/>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一、基本支出</w:t>
            </w: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在职人员工资福利支出（含退休）</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9,771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聘用及其他人员工资福利支出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1,579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基本公用支出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其他基本支出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shd w:val="clear" w:color="auto" w:fill="auto"/>
            <w:vAlign w:val="center"/>
          </w:tcPr>
          <w:p>
            <w:pPr>
              <w:jc w:val="center"/>
              <w:rPr>
                <w:rFonts w:ascii="仿宋_GB2312" w:hAnsi="宋体" w:eastAsia="仿宋_GB2312" w:cs="仿宋_GB2312"/>
                <w:b/>
                <w:color w:val="000000"/>
                <w:sz w:val="22"/>
                <w:szCs w:val="22"/>
              </w:rPr>
            </w:pPr>
          </w:p>
        </w:tc>
        <w:tc>
          <w:tcPr>
            <w:tcW w:w="5103" w:type="dxa"/>
            <w:shd w:val="clear" w:color="auto" w:fill="D7D7D7"/>
            <w:vAlign w:val="center"/>
          </w:tcPr>
          <w:p>
            <w:pPr>
              <w:widowControl/>
              <w:jc w:val="left"/>
              <w:textAlignment w:val="center"/>
              <w:rPr>
                <w:rFonts w:ascii="仿宋_GB2312" w:hAnsi="宋体" w:eastAsia="仿宋_GB2312" w:cs="仿宋_GB2312"/>
                <w:b/>
                <w:sz w:val="22"/>
                <w:szCs w:val="22"/>
              </w:rPr>
            </w:pPr>
            <w:r>
              <w:rPr>
                <w:rFonts w:hint="eastAsia" w:ascii="仿宋_GB2312" w:hAnsi="宋体" w:eastAsia="仿宋_GB2312" w:cs="仿宋_GB2312"/>
                <w:b/>
                <w:kern w:val="0"/>
                <w:sz w:val="22"/>
                <w:szCs w:val="22"/>
              </w:rPr>
              <w:t>基本支出小计</w:t>
            </w:r>
          </w:p>
        </w:tc>
        <w:tc>
          <w:tcPr>
            <w:tcW w:w="1843" w:type="dxa"/>
            <w:shd w:val="clear" w:color="auto" w:fill="D7D7D7"/>
            <w:vAlign w:val="center"/>
          </w:tcPr>
          <w:p>
            <w:pPr>
              <w:widowControl/>
              <w:jc w:val="center"/>
              <w:textAlignment w:val="center"/>
              <w:rPr>
                <w:rFonts w:ascii="仿宋_GB2312" w:hAnsi="宋体" w:eastAsia="仿宋_GB2312" w:cs="仿宋_GB2312"/>
                <w:b/>
                <w:sz w:val="22"/>
                <w:szCs w:val="22"/>
              </w:rPr>
            </w:pPr>
            <w:r>
              <w:rPr>
                <w:rFonts w:hint="eastAsia" w:ascii="仿宋_GB2312" w:hAnsi="宋体" w:eastAsia="仿宋_GB2312" w:cs="仿宋_GB2312"/>
                <w:b/>
                <w:kern w:val="0"/>
                <w:sz w:val="22"/>
                <w:szCs w:val="22"/>
              </w:rPr>
              <w:t>12,132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restart"/>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二、项目支出</w:t>
            </w: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部门运转支出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12,804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0"/>
                <w:szCs w:val="20"/>
              </w:rPr>
              <w:t xml:space="preserve">   其中：1.管委会预算单位支出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0"/>
                <w:szCs w:val="20"/>
              </w:rPr>
              <w:t>8,803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0"/>
                <w:szCs w:val="20"/>
              </w:rPr>
              <w:t xml:space="preserve">         2.宁东相关服务部门支出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0"/>
                <w:szCs w:val="20"/>
              </w:rPr>
              <w:t>4,001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民生专项支出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27,428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 xml:space="preserve">   其中：1.教育专项支出</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 xml:space="preserve">         2.扶贫支出</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 xml:space="preserve">         3.卫生专项支出</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7,949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xml:space="preserve">         4.社保、民政支出</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1,208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 xml:space="preserve">         5.保障房支出</w:t>
            </w:r>
          </w:p>
        </w:tc>
        <w:tc>
          <w:tcPr>
            <w:tcW w:w="1843" w:type="dxa"/>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14,804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xml:space="preserve">         6.平抑物价支出</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环保和安全支出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17,078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债务还本付息支出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36,133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基地公用设施运行支出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7,651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基础设施建设及相关支出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57,768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中介机构服务费等政府购买服务支出</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kern w:val="0"/>
                <w:sz w:val="22"/>
                <w:szCs w:val="22"/>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宁东基地促进产业发展及科技创新、人才培养支出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16,664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widowControl/>
              <w:jc w:val="left"/>
              <w:textAlignment w:val="center"/>
              <w:rPr>
                <w:rFonts w:ascii="仿宋_GB2312" w:hAnsi="宋体" w:eastAsia="仿宋_GB2312" w:cs="仿宋_GB2312"/>
                <w:color w:val="000000"/>
                <w:kern w:val="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0"/>
                <w:szCs w:val="20"/>
              </w:rPr>
              <w:t xml:space="preserve">   其中：1.科技创新支出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0"/>
                <w:szCs w:val="20"/>
              </w:rPr>
              <w:t>8,264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xml:space="preserve">         2.招商奖励支出</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xml:space="preserve">         3.促进产业发展支出</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ind w:firstLine="900" w:firstLineChars="450"/>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4.支持民营企业发展金融配套服务资金</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widowControl/>
              <w:jc w:val="left"/>
              <w:textAlignment w:val="center"/>
            </w:pPr>
          </w:p>
        </w:tc>
        <w:tc>
          <w:tcPr>
            <w:tcW w:w="5103" w:type="dxa"/>
            <w:vAlign w:val="center"/>
          </w:tcPr>
          <w:p>
            <w:pPr>
              <w:widowControl/>
              <w:jc w:val="left"/>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2"/>
                <w:szCs w:val="22"/>
              </w:rPr>
              <w:t>对企业注资</w:t>
            </w:r>
          </w:p>
        </w:tc>
        <w:tc>
          <w:tcPr>
            <w:tcW w:w="184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2"/>
                <w:szCs w:val="22"/>
              </w:rPr>
              <w:t>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征地拆迁补偿支出</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27,961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预留资金</w:t>
            </w:r>
          </w:p>
        </w:tc>
        <w:tc>
          <w:tcPr>
            <w:tcW w:w="1843" w:type="dxa"/>
            <w:vAlign w:val="center"/>
          </w:tcPr>
          <w:p>
            <w:pPr>
              <w:widowControl/>
              <w:jc w:val="center"/>
              <w:textAlignment w:val="center"/>
              <w:rPr>
                <w:rFonts w:ascii="仿宋_GB2312" w:hAnsi="宋体" w:eastAsia="仿宋_GB2312" w:cs="仿宋_GB2312"/>
                <w:color w:val="000000"/>
                <w:kern w:val="0"/>
                <w:sz w:val="22"/>
                <w:szCs w:val="22"/>
              </w:rPr>
            </w:pPr>
            <w:r>
              <w:rPr>
                <w:rFonts w:hint="eastAsia" w:ascii="仿宋_GB2312" w:hAnsi="宋体" w:eastAsia="仿宋_GB2312" w:cs="仿宋_GB2312"/>
                <w:color w:val="000000"/>
                <w:kern w:val="0"/>
                <w:sz w:val="22"/>
                <w:szCs w:val="22"/>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vAlign w:val="center"/>
          </w:tcPr>
          <w:p>
            <w:pPr>
              <w:jc w:val="center"/>
              <w:rPr>
                <w:rFonts w:ascii="仿宋_GB2312" w:hAnsi="宋体" w:eastAsia="仿宋_GB2312" w:cs="仿宋_GB2312"/>
                <w:b/>
                <w:color w:val="000000"/>
                <w:sz w:val="22"/>
                <w:szCs w:val="22"/>
              </w:rPr>
            </w:pPr>
          </w:p>
        </w:tc>
        <w:tc>
          <w:tcPr>
            <w:tcW w:w="5103" w:type="dxa"/>
            <w:vAlign w:val="center"/>
          </w:tcPr>
          <w:p>
            <w:pPr>
              <w:widowControl/>
              <w:jc w:val="left"/>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预备费</w:t>
            </w:r>
          </w:p>
        </w:tc>
        <w:tc>
          <w:tcPr>
            <w:tcW w:w="1843" w:type="dxa"/>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1701" w:type="dxa"/>
            <w:vMerge w:val="continue"/>
            <w:shd w:val="clear" w:color="auto" w:fill="auto"/>
            <w:vAlign w:val="center"/>
          </w:tcPr>
          <w:p>
            <w:pPr>
              <w:jc w:val="center"/>
              <w:rPr>
                <w:rFonts w:ascii="仿宋_GB2312" w:hAnsi="宋体" w:eastAsia="仿宋_GB2312" w:cs="仿宋_GB2312"/>
                <w:b/>
                <w:color w:val="000000"/>
                <w:sz w:val="22"/>
                <w:szCs w:val="22"/>
              </w:rPr>
            </w:pPr>
          </w:p>
        </w:tc>
        <w:tc>
          <w:tcPr>
            <w:tcW w:w="5103" w:type="dxa"/>
            <w:shd w:val="clear" w:color="auto" w:fill="D7D7D7"/>
            <w:vAlign w:val="center"/>
          </w:tcPr>
          <w:p>
            <w:pPr>
              <w:widowControl/>
              <w:jc w:val="left"/>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项目支出小计</w:t>
            </w:r>
          </w:p>
        </w:tc>
        <w:tc>
          <w:tcPr>
            <w:tcW w:w="1843" w:type="dxa"/>
            <w:shd w:val="clear" w:color="auto" w:fill="D7D7D7"/>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rPr>
              <w:t>287,487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7" w:hRule="atLeast"/>
        </w:trPr>
        <w:tc>
          <w:tcPr>
            <w:tcW w:w="6804" w:type="dxa"/>
            <w:gridSpan w:val="2"/>
            <w:shd w:val="clear" w:color="auto" w:fill="BEBEBE"/>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2018年预算支出合计：</w:t>
            </w:r>
          </w:p>
        </w:tc>
        <w:tc>
          <w:tcPr>
            <w:tcW w:w="1843" w:type="dxa"/>
            <w:shd w:val="clear" w:color="auto" w:fill="BEBEBE"/>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299,619</w:t>
            </w:r>
          </w:p>
        </w:tc>
      </w:tr>
    </w:tbl>
    <w:p>
      <w:pPr>
        <w:widowControl/>
        <w:shd w:val="clear" w:color="auto" w:fill="FFFFFF"/>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具体安排如下：</w:t>
      </w:r>
    </w:p>
    <w:p>
      <w:pPr>
        <w:widowControl/>
        <w:shd w:val="clear" w:color="auto" w:fill="FFFFFF"/>
        <w:spacing w:line="560" w:lineRule="exact"/>
        <w:ind w:firstLine="630" w:firstLineChars="196"/>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1.基本支出预算安排12,132万元。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2019年基本支出预算主要用于人员工资福利支出及日常公用经费支出，编制政策与要求上年一致。工资福利支出和对个人家庭补助支出按照自治区及管委会工资福利政策据实安排；公用及其他基本支出参照按照财政厅基本支出预算定额标准、结合管委会实际情况进行了核定，并下发相关文件。 </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2019年基本支出预算安排较上年增加522万元，同比增长4.5%。</w:t>
      </w:r>
      <w:r>
        <w:rPr>
          <w:rFonts w:hint="eastAsia" w:ascii="仿宋_GB2312" w:hAnsi="华文仿宋" w:eastAsia="仿宋_GB2312"/>
          <w:sz w:val="32"/>
          <w:szCs w:val="32"/>
        </w:rPr>
        <w:t>基本支出预算较上年增加的主要原因是根据自治区人社厅及财政厅要求，调增行政事业单位人员工资补助。</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（1）安排在职人员工资福利支出9,771万元；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（2）聘用及其他人员工资福利支出1,579万元；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（3）安排基本公用支出550万元（“三公经费”）；</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其中本着厉行节约，保障运行的原则，本年安排“三公经费”142万元，其中公务接待费30万元，公务用车购置费60万元，公务用车运行维护费48万元，因公出国（境 ）费4万元。</w:t>
      </w:r>
    </w:p>
    <w:p>
      <w:pPr>
        <w:widowControl/>
        <w:shd w:val="clear" w:color="auto" w:fill="FFFFFF"/>
        <w:spacing w:line="560" w:lineRule="exact"/>
        <w:ind w:firstLine="627" w:firstLineChars="19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（4）安排其他基本支出232万元，主要包括：工会经费65万元；公务车运行维护费56万元；办公室因公出国（境）经费30万元；村、社区办公经费80万元。</w:t>
      </w:r>
    </w:p>
    <w:p>
      <w:pPr>
        <w:widowControl/>
        <w:shd w:val="clear" w:color="auto" w:fill="FFFFFF"/>
        <w:spacing w:line="560" w:lineRule="exact"/>
        <w:ind w:firstLine="630" w:firstLineChars="196"/>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2.项目支出预算安排</w:t>
      </w:r>
      <w:r>
        <w:rPr>
          <w:rFonts w:hint="eastAsia" w:ascii="仿宋_GB2312" w:hAnsi="宋体" w:eastAsia="仿宋_GB2312" w:cs="宋体"/>
          <w:b/>
          <w:kern w:val="0"/>
          <w:sz w:val="32"/>
          <w:szCs w:val="32"/>
        </w:rPr>
        <w:t>287,487</w:t>
      </w:r>
      <w:r>
        <w:rPr>
          <w:rFonts w:hint="eastAsia" w:ascii="仿宋_GB2312" w:hAnsi="仿宋_GB2312" w:eastAsia="仿宋_GB2312" w:cs="仿宋_GB2312"/>
          <w:b/>
          <w:kern w:val="0"/>
          <w:sz w:val="32"/>
          <w:szCs w:val="32"/>
        </w:rPr>
        <w:t>万元。</w:t>
      </w:r>
    </w:p>
    <w:p>
      <w:pPr>
        <w:widowControl/>
        <w:shd w:val="clear" w:color="auto" w:fill="FFFFFF"/>
        <w:spacing w:line="56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b/>
          <w:kern w:val="0"/>
          <w:sz w:val="32"/>
          <w:szCs w:val="32"/>
        </w:rPr>
        <w:t>部门运转支出预算12,804万元</w:t>
      </w:r>
      <w:r>
        <w:rPr>
          <w:rFonts w:hint="eastAsia" w:ascii="仿宋_GB2312" w:hAnsi="仿宋_GB2312" w:eastAsia="仿宋_GB2312" w:cs="仿宋_GB2312"/>
          <w:kern w:val="0"/>
          <w:sz w:val="32"/>
          <w:szCs w:val="32"/>
        </w:rPr>
        <w:t>，其中一般公共预算安排12,514万元，政府性基金安排290万元。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管委会预算单位支出8,803万元，2018年安排6,054万元，同比增长45.41。为保障管委会各部门顺利开展业务工作，合理合规简化资金拨付流程，根据管委会各预算单位职能工作，将有明确决策依据与支付需求的项目，直接列入各部门项目预算。</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---办公室、政务中心、宁东镇(含社区)安排各类运转性支出3,126万元,其中：使用政府性基金预算安排宁东镇古窑子桥东四个片区拆迁营业房停产停业损失费及鸿运宾馆、顾明三家单位征地补偿款290万元；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---党群活动服务中心运行、党务工作培训、为民服务资金配套等党建及监察工作经费689万元；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划建设、环保、环境监测与市容管理工作经费1,831万元，主要为河湖水域岸线划界确权、核心区空间规划、土地集约节约评价、工程质量政府监督检测、挥发性有机物排放点源及审核认定、有毒有害气体预警监测系统委托运营等项目支出；</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---慰问及困难补贴、编制区域防汛抗旱规划、农民工工资应急周转金等社会事务与医疗卫生工作经费495万元，社保工作经费 5万元；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---经济发展及战略规划</w:t>
      </w:r>
      <w:r>
        <w:rPr>
          <w:rFonts w:hint="eastAsia" w:ascii="仿宋" w:hAnsi="仿宋" w:eastAsia="仿宋"/>
          <w:sz w:val="32"/>
          <w:szCs w:val="32"/>
        </w:rPr>
        <w:t>智慧宁东指挥中心电子大屏采购、园区产业发展及园区规划调整等项目规划、信息化系统运维、人才培训等</w:t>
      </w:r>
      <w:r>
        <w:rPr>
          <w:rFonts w:hint="eastAsia" w:ascii="仿宋_GB2312" w:hAnsi="仿宋_GB2312" w:eastAsia="仿宋_GB2312" w:cs="仿宋_GB2312"/>
          <w:sz w:val="32"/>
          <w:szCs w:val="32"/>
        </w:rPr>
        <w:t>专项资金1,590万元，招商专项工作经费330万元，财政审计工作经费80万元；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---购置应急救援设备、宁东气象台建设项目、执法装备购置等安全生产及综合执法工作专项资金657万元。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B.宁东非预算服务部门支出4,001万元。</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---安排税务、运管工作经费共计1,500万元；</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---安排宁东消防经费预算1,071万元，主要用于消防部队人员经费及专职消防员工资；</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---安排宁东公安经费预算1,057万元，其中人员经费930万元、各类专项工作经费127万元；</w:t>
      </w:r>
    </w:p>
    <w:p>
      <w:pPr>
        <w:widowControl/>
        <w:shd w:val="clear" w:color="auto" w:fill="FFFFFF"/>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---安排宁东交警经费预算373万元，其中人员经费280万元、各类专项工作经费93万元；</w:t>
      </w:r>
    </w:p>
    <w:p>
      <w:pPr>
        <w:widowControl/>
        <w:shd w:val="clear" w:color="auto" w:fill="FFFFFF"/>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sz w:val="32"/>
          <w:szCs w:val="32"/>
        </w:rPr>
        <w:t>民生专项支出27,428万元</w:t>
      </w:r>
      <w:r>
        <w:rPr>
          <w:rFonts w:hint="eastAsia" w:ascii="仿宋_GB2312" w:hAnsi="仿宋_GB2312" w:eastAsia="仿宋_GB2312" w:cs="仿宋_GB2312"/>
          <w:sz w:val="32"/>
          <w:szCs w:val="32"/>
        </w:rPr>
        <w:t>，其中：一般公共预算支出26,142万元，政府性基金安排1,286万元。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A.教育专项支出2,442万元：按政策要求安排学生教师体检、困难学生食宿补助等经费，依据教师支持计划安排教师生活补助、医疗补助等1,743万元；宁东学校物业费等后勤经费及教育工作办公室运行经费684万元；自治区财政厅提前下达专项资金学前教育学生资助补助经费15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B.扶贫支出945万元：西吉县搬迁移民社会保障补贴，困难补贴级学前幼儿入学补贴345万元，西吉县搬迁居民购房配套资金400万元，彭阳县杨坪村定点扶贫支出200万元；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C.卫生专项支出7,949万元：宁东医院新院设备采购费用6,500万元，应急急救诊疗设备、基本公共设备及医疗检验设备1,211万元，宁东医院综合医改政府补助、公立医院改革补助及从业人员预防性健康体检免费项目238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D.社保民政支出1,208万元：宁东镇政府社保、医保补贴资金440万元，民政和低保等政策性补贴479万元，镇区城乡居民养老保险医疗保险等财政补贴138万元，灵活就业及创业就业补贴97万元，自治区财政提前下达2019年退耕还林补助专项资金51万元，2019年中央财政医疗救助补助3万元（政府性基金）；</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E．保障房支出14,804万元，其中从政府性基金中安排1,283万元。灵新矿、新民小区、佳能苑、民惠苑棚户区改造项目融资配套资金8,300万元，灵新矿棚户区改造项目被拆迁房屋拆迁安置项目6,000万元，文萃家园、民惠苑小区空置住宅物业费及取暖费504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F.肉类蔬菜储备等平抑物价专项资金80万元。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sz w:val="32"/>
          <w:szCs w:val="32"/>
        </w:rPr>
        <w:t>环境保护和安全支出17,078万元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---宁东污水处理厂PPP项目补贴9,530万元。根据PPP合作协议、财政可承受能力及项目公司2018年经营预测，暂计划安排PPP项目财政可行性缺口补助9,530万元；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---灭火救援装备建设经费4,000万元，宁东智慧式用电安全隐患监管服务项目158万元；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---小煤场环境整治等环境整治项目2,000万元，2018年固废利用补贴费用610万元；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---原磁窑堡镇的垃圾清运和生态修善经费331万元；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---环保清扫车辆采购管委会配套资金249万元；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---化工新材料园区扩区规划环境影响评价报告书、基地总体规划环评跟踪评价报告书编制审核服务费200万元。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sz w:val="32"/>
          <w:szCs w:val="32"/>
        </w:rPr>
        <w:t>债务还本付息支出36,133万元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---2019年到期隐形债务还本支出13,876万元。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未纳入债务系统的银行贷款还本8,730万元，国开基金及农发基金还本支出5,146万元；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---2018年利息支出22,257万元，主要包括政府债券利息16,012万元；银行贷款利息5,152万元；国开基金、农发基金利息1,093万元。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sz w:val="32"/>
          <w:szCs w:val="32"/>
        </w:rPr>
        <w:t>基地公用设施运行支出7,651万元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---宁东市政基础设施管护、环境卫生、绿化养护5,400万元；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---宁东政府投资建设项目、市政设施、新学校、新医院等物业服务费1,200万元，老年活动中心运营费及设备采购经费300万元，展示中心运营及提升改造费用、企业总部大楼地下车库车位等费用281万元；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---六十大庆及中华人民共和国成立70周年大庆宣传经费350万元，宁东公共交通运行补助120万元</w:t>
      </w:r>
      <w:bookmarkStart w:id="1" w:name="_GoBack"/>
      <w:bookmarkEnd w:id="1"/>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
          <w:sz w:val="32"/>
          <w:szCs w:val="32"/>
        </w:rPr>
        <w:t>基础设施建设及相关支出57,768万元</w:t>
      </w:r>
      <w:r>
        <w:rPr>
          <w:rFonts w:hint="eastAsia" w:ascii="仿宋_GB2312" w:hAnsi="仿宋_GB2312" w:eastAsia="仿宋_GB2312" w:cs="仿宋_GB2312"/>
          <w:sz w:val="32"/>
          <w:szCs w:val="32"/>
        </w:rPr>
        <w:t>，其中一般公共预算安排45,948万元，政府性基金安排11,820万元。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化工新材料园区及煤化工园区道路、管廊、污水处理、供热管网、特勤消防站等基础设施；园区项目七通一平配套基础设施项目；宁东医院新院、群众活动中心、铝下游园区道路工程等在建项目；保障房、信息化、1-8区提升改造、清水营塞上边城景区项目等其他政府投资建设项目合计安排资金52，614万元，其中：一般公共预算安排40,794万元，政府性基金安排11,820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---灵新矿老矿区棚户区拆迁2,500万元；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---园区镇区植树、绿化项目资金1,800万元；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---东龙商业区采暖工程316万元，沃凯珑等3家企业出入口蒸汽管线迁改费用270万元;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---安排能化公司以前年度项目建设资金268万元，主要用于与宁夏煤炭基本建设公司以前年度项目建设资金款、劳动保险及投资回报资金。</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2019年，基地园区基础设施投入力度史无前例，新开工的大项目比较多，项目资金需求量大，除管委会本级年初预算安排的61,108万元建设资金外，要积极争取上级财力转移支付、专项转移资金、地方政府债券资金，涉及跨区域的滨河到宁东的快速通道、宁东基地产业研发中心等项目可争取自治区都市圈产业基金支持，统筹各类资金，确保项目建设需要。</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b/>
          <w:sz w:val="32"/>
          <w:szCs w:val="32"/>
        </w:rPr>
        <w:t>中介机构服务费等政府购买服务支出2,000万元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---安排政务中心“多评合一”等费用1,000万元。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---安排规划工作及环保评价工作资金1,000万元，主要用于支付经发局、战略规划局、建设局、环保局等单位开展的园区及产业的综合规划、专项规划及相关的环评，以管委会决定为准。</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b/>
          <w:sz w:val="32"/>
          <w:szCs w:val="32"/>
        </w:rPr>
        <w:t>宁东基地促进产业发展、科技创新、人才培养支出16,664万元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A.科技创新支出8,264万元。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---安排战略规划局自治区财政提前下达科技创新及人才专项资金7,064万元，其中自治区财政提前下达科技后补助、重大、重点研发计划、科研平台建设等项目补助配套资金3,164万元；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---安排战略规划局与宁东科技创业公司中小微企业创业创新扶持专项资金1,200万元，用于促进中小微企业发展和科技创新。</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B.招商奖励支出2,400万元。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---为扩大政策优势，吸引企业落户宁东，安排招商十条奖励资金2,400万元。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C.促进产业发展支出3,000万元。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经发局宁东基地企业（中小）发展、“稳增长”及工业企业综合奖补资金8,600万元,其中2018年自治区财政下达的对国务院第五次大督查通报表扬的我区典型经验单位奖励资金3,000万元,自治区财政下达综合奖补资金2,600万元，管委会本级安排3,000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D.支持民营企业发展金融配套服务资金3000万元。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---加强担保体系建设；建立民营企业风险补偿机制；对民营企业融资奖励；财政贴息；支持私募股权投资基金奖励等资金3000万元。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b/>
          <w:sz w:val="32"/>
          <w:szCs w:val="32"/>
        </w:rPr>
        <w:t>对委属国有企业注资73,000万元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---增加宁东投资公司注册资金60,000万元，由投资公司统筹用于宁东产业发展基金、都市圈产业基金、对宁东重点招商引资企业和低成本化园区项目出资；</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---增加宁东担保公司注册本金10,000万元，提高公司担保能力，其中使用公共预算安排8,784万元，使用国有资本经营预算安排1,216万元；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---增加宁东市政公司注册本金3,000万元。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b/>
          <w:sz w:val="32"/>
          <w:szCs w:val="32"/>
        </w:rPr>
        <w:t>征地拆迁补偿支出27,961万元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收回国有建设用地费用及土地支出费用13,808万元，均使用政府性基金安排，其中：用于支付收回中房物流园费用9,361万元、中石化长城能源已完成供应的7宗土地和泰和项目东侧三角地土地补偿553万元，其他征收拆迁补偿费支出3,894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---安排宁东镇政府2016年环境整治资金10,337万元；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---安排宁东镇政府古窑子桥东等拆迁营业房临时安置费、停产停业损失费960万元;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---化工新材料园区林业补偿费2,856万元。</w:t>
      </w:r>
    </w:p>
    <w:p>
      <w:pPr>
        <w:spacing w:line="560" w:lineRule="exact"/>
        <w:ind w:firstLine="594" w:firstLineChars="185"/>
        <w:rPr>
          <w:rFonts w:ascii="仿宋_GB2312" w:hAnsi="仿宋_GB2312" w:eastAsia="仿宋_GB2312" w:cs="仿宋_GB2312"/>
          <w:sz w:val="32"/>
          <w:szCs w:val="32"/>
        </w:rPr>
      </w:pPr>
      <w:r>
        <w:rPr>
          <w:rFonts w:hint="eastAsia" w:ascii="仿宋_GB2312" w:hAnsi="仿宋_GB2312" w:eastAsia="仿宋_GB2312" w:cs="仿宋_GB2312"/>
          <w:b/>
          <w:sz w:val="32"/>
          <w:szCs w:val="32"/>
        </w:rPr>
        <w:t>（11）预留资金5,000万元</w:t>
      </w:r>
      <w:r>
        <w:rPr>
          <w:rFonts w:hint="eastAsia" w:ascii="仿宋_GB2312" w:hAnsi="仿宋_GB2312" w:eastAsia="仿宋_GB2312" w:cs="仿宋_GB2312"/>
          <w:sz w:val="32"/>
          <w:szCs w:val="32"/>
        </w:rPr>
        <w:t>:</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---先进集体及先进个人奖励金65万元;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---调整工资和社保调标、道路水毁抢修、管委会指令性等应急工程等4,935万元。</w:t>
      </w:r>
    </w:p>
    <w:p>
      <w:pPr>
        <w:spacing w:line="560" w:lineRule="exact"/>
        <w:ind w:firstLine="594" w:firstLineChars="185"/>
        <w:rPr>
          <w:rFonts w:ascii="仿宋_GB2312" w:hAnsi="仿宋_GB2312" w:eastAsia="仿宋_GB2312" w:cs="仿宋_GB2312"/>
          <w:sz w:val="32"/>
          <w:szCs w:val="32"/>
        </w:rPr>
      </w:pPr>
      <w:r>
        <w:rPr>
          <w:rFonts w:hint="eastAsia" w:ascii="仿宋_GB2312" w:hAnsi="仿宋_GB2312" w:eastAsia="仿宋_GB2312" w:cs="仿宋_GB2312"/>
          <w:b/>
          <w:sz w:val="32"/>
          <w:szCs w:val="32"/>
        </w:rPr>
        <w:t>（12）预备费4,000万元</w:t>
      </w:r>
      <w:r>
        <w:rPr>
          <w:rFonts w:hint="eastAsia" w:ascii="仿宋_GB2312" w:hAnsi="仿宋_GB2312" w:eastAsia="仿宋_GB2312" w:cs="仿宋_GB2312"/>
          <w:sz w:val="32"/>
          <w:szCs w:val="32"/>
        </w:rPr>
        <w:t>，根据《新预算法》规定安排当年本级公共预算支出总额的1%-3%，用于突发事件应急资金需要以及其他未预见性支出。</w:t>
      </w:r>
    </w:p>
    <w:p>
      <w:pPr>
        <w:spacing w:line="56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（三）政府债务预算收支安排</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针对宁东基地发展建设的实际情况，结合政府债务管理要求和自治区安排地方政府债券初步计划，将2019年地方政府债券的有关情况汇报如下：</w:t>
      </w:r>
    </w:p>
    <w:p>
      <w:pPr>
        <w:numPr>
          <w:ilvl w:val="0"/>
          <w:numId w:val="1"/>
        </w:numPr>
        <w:spacing w:line="560" w:lineRule="exact"/>
        <w:ind w:firstLine="660"/>
        <w:rPr>
          <w:rFonts w:ascii="仿宋_GB2312" w:hAnsi="仿宋_GB2312" w:eastAsia="仿宋_GB2312" w:cs="仿宋_GB2312"/>
          <w:b/>
          <w:sz w:val="32"/>
          <w:szCs w:val="32"/>
        </w:rPr>
      </w:pPr>
      <w:r>
        <w:rPr>
          <w:rFonts w:hint="eastAsia" w:ascii="仿宋_GB2312" w:hAnsi="仿宋_GB2312" w:eastAsia="仿宋_GB2312" w:cs="仿宋_GB2312"/>
          <w:b/>
          <w:sz w:val="32"/>
          <w:szCs w:val="32"/>
        </w:rPr>
        <w:t>新增债券预算计划情况</w:t>
      </w:r>
    </w:p>
    <w:p>
      <w:pPr>
        <w:spacing w:line="560" w:lineRule="exact"/>
        <w:ind w:firstLine="630" w:firstLineChars="196"/>
        <w:rPr>
          <w:rFonts w:ascii="仿宋_GB2312" w:hAnsi="仿宋_GB2312" w:eastAsia="仿宋_GB2312" w:cs="仿宋_GB2312"/>
          <w:bCs/>
          <w:sz w:val="32"/>
          <w:szCs w:val="32"/>
        </w:rPr>
      </w:pPr>
      <w:r>
        <w:rPr>
          <w:rFonts w:hint="eastAsia" w:ascii="仿宋_GB2312" w:hAnsi="仿宋_GB2312" w:eastAsia="仿宋_GB2312" w:cs="仿宋_GB2312"/>
          <w:b/>
          <w:sz w:val="32"/>
          <w:szCs w:val="32"/>
        </w:rPr>
        <w:t>新债券收入：</w:t>
      </w:r>
      <w:r>
        <w:rPr>
          <w:rFonts w:hint="eastAsia" w:ascii="仿宋_GB2312" w:hAnsi="仿宋_GB2312" w:eastAsia="仿宋_GB2312" w:cs="仿宋_GB2312"/>
          <w:bCs/>
          <w:sz w:val="32"/>
          <w:szCs w:val="32"/>
        </w:rPr>
        <w:t>预计自治区安排宁东基地地方政府债券资金不低于70,000万元，2019年1月自治区财政厅已提前告知安排管委会2019年地方债券资金40,000万元，最终数据以自治区财政厅下达数据为准。</w:t>
      </w:r>
    </w:p>
    <w:p>
      <w:pPr>
        <w:spacing w:line="560" w:lineRule="exact"/>
        <w:ind w:firstLine="594" w:firstLineChars="185"/>
        <w:rPr>
          <w:rFonts w:ascii="仿宋_GB2312" w:hAnsi="仿宋_GB2312" w:eastAsia="仿宋_GB2312" w:cs="仿宋_GB2312"/>
          <w:sz w:val="32"/>
          <w:szCs w:val="32"/>
        </w:rPr>
      </w:pPr>
      <w:r>
        <w:rPr>
          <w:rFonts w:hint="eastAsia" w:ascii="仿宋_GB2312" w:hAnsi="仿宋_GB2312" w:eastAsia="仿宋_GB2312" w:cs="仿宋_GB2312"/>
          <w:b/>
          <w:sz w:val="32"/>
          <w:szCs w:val="32"/>
        </w:rPr>
        <w:t>债务预算支出初步计划：</w:t>
      </w:r>
      <w:r>
        <w:rPr>
          <w:rFonts w:hint="eastAsia" w:ascii="仿宋_GB2312" w:hAnsi="仿宋_GB2312" w:eastAsia="仿宋_GB2312" w:cs="仿宋_GB2312"/>
          <w:sz w:val="32"/>
          <w:szCs w:val="32"/>
        </w:rPr>
        <w:t>根据自治区财政厅《关于做好2019年新增债券项目管理工作的通知》（宁财（预）指标〔2019〕5号），自治区财政提前下达管委会2019年度地方政府债券资金40,000万元，要求“要依法用于公益性资金支出，优先用于保障在建公益性项目，支持规划内生大项目及解决政府项目拖欠工程款等，不得用于经常性支出和楼堂馆所等中央明令禁止的项目支出”。经与经发局、规划建设土地局、投资公司、市政公司等部门和单位沟通，为加强宁东工业园区基础设施建设，加快资金支付进度，建议上述资金用于以下项目建设：</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（1）安排化工材料园区南区建成区地上管廊、污水、给水及绿化项目20,000万元。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项目总投资5.64亿元（以最终批复为准），建设内容主要为新建地上管廊13.3千米、电伴热污水管道75千米、污水监控池9座、给水管道12千米，目前项目正完善设计，预计3月底前完成项目批复、招投标等前期工作并开工建设。</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（2）安排化工新材料园区鸳鸯湖片区启动区道路及给排水工程10,000万元。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该项目总投资4.05亿元，建设内容主要为新建道路11.07公里，由一条主干路和六条次干路组成；给水工程10.66公里，排水工程10.99公里。目前已完成设计批复，正在开展预算编制及审核工作，预计3月底前完成招投标工程并开工建设。</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（3）铝下游产业园区三号路、四号路及园区断头路打通道路及给排水工程安排10,000万元。</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该项目批复总投资3.42亿元，新建经三路辅路，广宝西路、广宝东路、京能南路、广银北路和宝胜路6条道路，总长11.69公里。新建广银南路绿化工程和交通设施，道路长度2.52公里。该项目已于2018年11完成招投标工作并开工建设，预计3月底复工。</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为加快支出进度，建议将上述资金拨付宁东投资公司，规划建设土地局、投资公司、市政公司要严格按照本次确定的资金安排意见严格管理和使用资金，按照基本建设程序，认真落实项目法人制、合同制、招投标制、监理制等制度要求，并接受财政、审计等部门的监督管理。</w:t>
      </w:r>
    </w:p>
    <w:p>
      <w:pPr>
        <w:spacing w:line="560" w:lineRule="exact"/>
        <w:ind w:firstLine="592" w:firstLineChars="185"/>
        <w:rPr>
          <w:rFonts w:ascii="仿宋_GB2312" w:hAnsi="仿宋_GB2312" w:eastAsia="仿宋_GB2312" w:cs="仿宋_GB2312"/>
          <w:sz w:val="32"/>
          <w:szCs w:val="32"/>
        </w:rPr>
      </w:pPr>
      <w:r>
        <w:rPr>
          <w:rFonts w:hint="eastAsia" w:ascii="仿宋_GB2312" w:hAnsi="仿宋_GB2312" w:eastAsia="仿宋_GB2312" w:cs="仿宋_GB2312"/>
          <w:sz w:val="32"/>
          <w:szCs w:val="32"/>
        </w:rPr>
        <w:t>根据2019年自治区实际安排</w:t>
      </w:r>
      <w:r>
        <w:rPr>
          <w:rFonts w:hint="eastAsia" w:ascii="仿宋_GB2312" w:hAnsi="仿宋_GB2312" w:eastAsia="仿宋_GB2312" w:cs="仿宋_GB2312"/>
          <w:bCs/>
          <w:sz w:val="32"/>
          <w:szCs w:val="32"/>
        </w:rPr>
        <w:t>宁东基地地方政府债券资金情况</w:t>
      </w:r>
      <w:r>
        <w:rPr>
          <w:rFonts w:hint="eastAsia" w:ascii="仿宋_GB2312" w:hAnsi="仿宋_GB2312" w:eastAsia="仿宋_GB2312" w:cs="仿宋_GB2312"/>
          <w:sz w:val="32"/>
          <w:szCs w:val="32"/>
        </w:rPr>
        <w:t>，超出已提前下达40,000万元的部分，具体投入项目由党工委、管委会另行研究决定。</w:t>
      </w:r>
    </w:p>
    <w:p>
      <w:pPr>
        <w:numPr>
          <w:ilvl w:val="0"/>
          <w:numId w:val="1"/>
        </w:numPr>
        <w:spacing w:line="560" w:lineRule="exact"/>
        <w:ind w:firstLine="660"/>
        <w:rPr>
          <w:rFonts w:ascii="仿宋_GB2312" w:hAnsi="仿宋_GB2312" w:eastAsia="仿宋_GB2312" w:cs="仿宋_GB2312"/>
          <w:b/>
          <w:sz w:val="32"/>
          <w:szCs w:val="32"/>
        </w:rPr>
      </w:pPr>
      <w:r>
        <w:rPr>
          <w:rFonts w:hint="eastAsia" w:ascii="仿宋_GB2312" w:hAnsi="仿宋_GB2312" w:eastAsia="仿宋_GB2312" w:cs="仿宋_GB2312"/>
          <w:b/>
          <w:sz w:val="32"/>
          <w:szCs w:val="32"/>
        </w:rPr>
        <w:t>置换债券计划情况</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2019年，管委会到期政府债券52,735万元，其中：2014年一般债券1,5000万元，2016年一般债券17,342万元，2016年置换债券20,393万元。经与财政厅沟通，可通过转换债券安排，本级财政不需要安排资金。</w:t>
      </w:r>
    </w:p>
    <w:p>
      <w:pPr>
        <w:spacing w:line="560" w:lineRule="exact"/>
        <w:ind w:firstLine="645"/>
        <w:rPr>
          <w:rFonts w:ascii="黑体" w:hAnsi="宋体" w:eastAsia="黑体" w:cs="宋体"/>
          <w:kern w:val="0"/>
          <w:sz w:val="32"/>
          <w:szCs w:val="32"/>
        </w:rPr>
      </w:pPr>
      <w:r>
        <w:rPr>
          <w:rFonts w:hint="eastAsia" w:ascii="黑体" w:hAnsi="宋体" w:eastAsia="黑体" w:cs="宋体"/>
          <w:kern w:val="0"/>
          <w:sz w:val="32"/>
          <w:szCs w:val="32"/>
        </w:rPr>
        <w:t>三、2019年社保基金预算安排意见</w:t>
      </w:r>
    </w:p>
    <w:p>
      <w:pPr>
        <w:spacing w:line="560" w:lineRule="exact"/>
        <w:ind w:left="420" w:left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（一）2019年社保基金收入及可用资金情况</w:t>
      </w:r>
    </w:p>
    <w:p>
      <w:pPr>
        <w:spacing w:line="560" w:lineRule="exact"/>
        <w:ind w:firstLine="645"/>
        <w:rPr>
          <w:rFonts w:ascii="仿宋_GB2312" w:hAnsi="仿宋" w:eastAsia="仿宋_GB2312"/>
          <w:b/>
          <w:sz w:val="32"/>
          <w:szCs w:val="32"/>
        </w:rPr>
      </w:pPr>
      <w:r>
        <w:rPr>
          <w:rFonts w:hint="eastAsia" w:ascii="仿宋_GB2312" w:hAnsi="仿宋" w:eastAsia="仿宋_GB2312"/>
          <w:b/>
          <w:sz w:val="32"/>
          <w:szCs w:val="32"/>
        </w:rPr>
        <w:t>1.城镇职工基本养老保险基金预算可用资金情况</w:t>
      </w:r>
    </w:p>
    <w:p>
      <w:pPr>
        <w:spacing w:line="560" w:lineRule="exact"/>
        <w:ind w:firstLine="645"/>
        <w:rPr>
          <w:rFonts w:ascii="仿宋_GB2312" w:hAnsi="仿宋" w:eastAsia="仿宋_GB2312"/>
          <w:sz w:val="32"/>
          <w:szCs w:val="32"/>
        </w:rPr>
      </w:pPr>
      <w:r>
        <w:rPr>
          <w:rFonts w:hint="eastAsia" w:ascii="仿宋_GB2312" w:hAnsi="仿宋" w:eastAsia="仿宋_GB2312"/>
          <w:bCs/>
          <w:sz w:val="32"/>
          <w:szCs w:val="32"/>
        </w:rPr>
        <w:t>2019年城镇职工养老保险预计可用资金11,308万元。其中：当期征缴收入为7,377万元，较上年增长86%。</w:t>
      </w:r>
      <w:r>
        <w:rPr>
          <w:rFonts w:hint="eastAsia" w:ascii="仿宋_GB2312" w:hAnsi="仿宋" w:eastAsia="仿宋_GB2312"/>
          <w:sz w:val="32"/>
          <w:szCs w:val="32"/>
        </w:rPr>
        <w:t>2018年结余3,931万元。</w:t>
      </w:r>
    </w:p>
    <w:p>
      <w:pPr>
        <w:spacing w:line="560" w:lineRule="exact"/>
        <w:ind w:firstLine="645"/>
        <w:rPr>
          <w:rFonts w:ascii="仿宋_GB2312" w:hAnsi="仿宋" w:eastAsia="仿宋_GB2312"/>
          <w:b/>
          <w:sz w:val="32"/>
          <w:szCs w:val="32"/>
        </w:rPr>
      </w:pPr>
      <w:r>
        <w:rPr>
          <w:rFonts w:hint="eastAsia" w:ascii="仿宋_GB2312" w:hAnsi="仿宋" w:eastAsia="仿宋_GB2312"/>
          <w:b/>
          <w:bCs/>
          <w:sz w:val="32"/>
          <w:szCs w:val="32"/>
        </w:rPr>
        <w:t>2</w:t>
      </w:r>
      <w:r>
        <w:rPr>
          <w:rFonts w:hint="eastAsia" w:ascii="仿宋_GB2312" w:hAnsi="仿宋" w:eastAsia="仿宋_GB2312"/>
          <w:b/>
          <w:sz w:val="32"/>
          <w:szCs w:val="32"/>
        </w:rPr>
        <w:t>.统筹城乡居民养老保险基金预算可用资金情况</w:t>
      </w:r>
    </w:p>
    <w:p>
      <w:pPr>
        <w:spacing w:line="560" w:lineRule="exact"/>
        <w:ind w:firstLine="645"/>
        <w:rPr>
          <w:rFonts w:ascii="仿宋_GB2312" w:hAnsi="仿宋" w:eastAsia="仿宋_GB2312"/>
          <w:sz w:val="32"/>
          <w:szCs w:val="32"/>
        </w:rPr>
      </w:pPr>
      <w:r>
        <w:rPr>
          <w:rFonts w:hint="eastAsia" w:ascii="仿宋_GB2312" w:hAnsi="仿宋" w:eastAsia="仿宋_GB2312"/>
          <w:bCs/>
          <w:sz w:val="32"/>
          <w:szCs w:val="32"/>
        </w:rPr>
        <w:t>2019年统筹城乡居民养老保险预计可用资金2,957万元。其中：当期征缴收入为657万元，</w:t>
      </w:r>
      <w:r>
        <w:rPr>
          <w:rFonts w:hint="eastAsia" w:ascii="仿宋_GB2312" w:hAnsi="仿宋" w:eastAsia="仿宋_GB2312"/>
          <w:sz w:val="32"/>
          <w:szCs w:val="32"/>
        </w:rPr>
        <w:t>2018年结余2,300万元。</w:t>
      </w:r>
    </w:p>
    <w:p>
      <w:pPr>
        <w:spacing w:line="560" w:lineRule="exact"/>
        <w:ind w:firstLine="645"/>
        <w:rPr>
          <w:rFonts w:ascii="仿宋_GB2312" w:hAnsi="仿宋" w:eastAsia="仿宋_GB2312"/>
          <w:b/>
          <w:sz w:val="32"/>
          <w:szCs w:val="32"/>
        </w:rPr>
      </w:pPr>
      <w:r>
        <w:rPr>
          <w:rFonts w:hint="eastAsia" w:ascii="仿宋_GB2312" w:hAnsi="仿宋" w:eastAsia="仿宋_GB2312"/>
          <w:b/>
          <w:bCs/>
          <w:sz w:val="32"/>
          <w:szCs w:val="32"/>
        </w:rPr>
        <w:t>3</w:t>
      </w:r>
      <w:r>
        <w:rPr>
          <w:rFonts w:hint="eastAsia" w:ascii="仿宋_GB2312" w:hAnsi="仿宋" w:eastAsia="仿宋_GB2312"/>
          <w:b/>
          <w:sz w:val="32"/>
          <w:szCs w:val="32"/>
        </w:rPr>
        <w:t>.工伤保险基金预算可用资金情况</w:t>
      </w:r>
    </w:p>
    <w:p>
      <w:pPr>
        <w:spacing w:line="560" w:lineRule="exact"/>
        <w:ind w:firstLine="645"/>
        <w:rPr>
          <w:rFonts w:ascii="仿宋_GB2312" w:hAnsi="仿宋" w:eastAsia="仿宋_GB2312"/>
          <w:sz w:val="32"/>
          <w:szCs w:val="32"/>
        </w:rPr>
      </w:pPr>
      <w:r>
        <w:rPr>
          <w:rFonts w:hint="eastAsia" w:ascii="仿宋_GB2312" w:hAnsi="仿宋" w:eastAsia="仿宋_GB2312"/>
          <w:bCs/>
          <w:sz w:val="32"/>
          <w:szCs w:val="32"/>
        </w:rPr>
        <w:t>2019年工伤保险预计可用资金6,743万元。其中：当期征缴收入为6,556万元，</w:t>
      </w:r>
      <w:r>
        <w:rPr>
          <w:rFonts w:hint="eastAsia" w:ascii="仿宋_GB2312" w:hAnsi="仿宋" w:eastAsia="仿宋_GB2312"/>
          <w:sz w:val="32"/>
          <w:szCs w:val="32"/>
        </w:rPr>
        <w:t>2018年结余187万元。</w:t>
      </w:r>
    </w:p>
    <w:p>
      <w:pPr>
        <w:spacing w:line="560" w:lineRule="exact"/>
        <w:ind w:firstLine="645"/>
        <w:rPr>
          <w:rFonts w:ascii="仿宋_GB2312" w:hAnsi="仿宋" w:eastAsia="仿宋_GB2312"/>
          <w:sz w:val="32"/>
          <w:szCs w:val="32"/>
        </w:rPr>
      </w:pPr>
      <w:r>
        <w:rPr>
          <w:rFonts w:hint="eastAsia" w:ascii="仿宋_GB2312" w:hAnsi="仿宋_GB2312" w:eastAsia="仿宋_GB2312" w:cs="仿宋_GB2312"/>
          <w:b/>
          <w:sz w:val="32"/>
          <w:szCs w:val="32"/>
        </w:rPr>
        <w:t>（二）2019年社保基金支出及结转情况</w:t>
      </w:r>
    </w:p>
    <w:p>
      <w:pPr>
        <w:spacing w:line="460" w:lineRule="exact"/>
        <w:ind w:firstLine="627" w:firstLineChars="196"/>
        <w:rPr>
          <w:rFonts w:ascii="仿宋_GB2312" w:hAnsi="仿宋" w:eastAsia="仿宋_GB2312"/>
          <w:sz w:val="32"/>
          <w:szCs w:val="32"/>
        </w:rPr>
      </w:pPr>
      <w:r>
        <w:rPr>
          <w:rFonts w:hint="eastAsia" w:ascii="仿宋_GB2312" w:hAnsi="仿宋" w:eastAsia="仿宋_GB2312"/>
          <w:sz w:val="32"/>
          <w:szCs w:val="32"/>
        </w:rPr>
        <w:t>2019年城镇职工基本养老保险基金预计支出为260万元（其中：基本养老金支出235万元，丧葬抚恤支出17.5万元），结转11,138万元。</w:t>
      </w:r>
    </w:p>
    <w:p>
      <w:pPr>
        <w:spacing w:line="560" w:lineRule="exact"/>
        <w:ind w:firstLine="645"/>
        <w:rPr>
          <w:rFonts w:ascii="仿宋_GB2312" w:hAnsi="仿宋" w:eastAsia="仿宋_GB2312"/>
          <w:sz w:val="32"/>
          <w:szCs w:val="32"/>
        </w:rPr>
      </w:pPr>
      <w:r>
        <w:rPr>
          <w:rFonts w:hint="eastAsia" w:ascii="仿宋_GB2312" w:hAnsi="仿宋" w:eastAsia="仿宋_GB2312"/>
          <w:sz w:val="32"/>
          <w:szCs w:val="32"/>
        </w:rPr>
        <w:t>2019年统筹城乡居民预计支出167万元，结余2,790万元。</w:t>
      </w:r>
    </w:p>
    <w:p>
      <w:pPr>
        <w:widowControl/>
        <w:shd w:val="clear" w:color="auto" w:fill="FFFFFF"/>
        <w:spacing w:after="180" w:line="640" w:lineRule="exact"/>
        <w:ind w:firstLine="645"/>
        <w:jc w:val="left"/>
        <w:rPr>
          <w:rFonts w:ascii="仿宋_GB2312" w:hAnsi="仿宋" w:eastAsia="仿宋_GB2312"/>
          <w:sz w:val="32"/>
          <w:szCs w:val="32"/>
        </w:rPr>
      </w:pPr>
      <w:r>
        <w:rPr>
          <w:rFonts w:hint="eastAsia" w:ascii="仿宋_GB2312" w:hAnsi="仿宋" w:eastAsia="仿宋_GB2312"/>
          <w:sz w:val="32"/>
          <w:szCs w:val="32"/>
        </w:rPr>
        <w:t>2019年工伤保险预计6,743万元,其中：工伤保险待遇支出6,419万元（医疗待遇支出566万元），上解上级支出324万（工伤保险储备金）。</w:t>
      </w:r>
      <w:r>
        <w:rPr>
          <w:rFonts w:hint="eastAsia" w:ascii="仿宋_GB2312" w:hAnsi="仿宋" w:eastAsia="仿宋_GB2312"/>
          <w:kern w:val="0"/>
          <w:sz w:val="32"/>
          <w:szCs w:val="32"/>
        </w:rPr>
        <w:t>由于宁东管委会辖区工业企业较多，工伤保险待遇支出逐年增多，预计2019年收不抵支，收支节余为-186.96万元。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四、2019年重点工作和思路</w:t>
      </w:r>
    </w:p>
    <w:p>
      <w:pPr>
        <w:spacing w:line="600" w:lineRule="exact"/>
        <w:ind w:firstLine="640" w:firstLineChars="200"/>
        <w:rPr>
          <w:rFonts w:ascii="仿宋_GB2312" w:eastAsia="仿宋_GB2312"/>
          <w:sz w:val="32"/>
          <w:szCs w:val="32"/>
        </w:rPr>
      </w:pPr>
      <w:r>
        <w:rPr>
          <w:rFonts w:hint="eastAsia" w:ascii="楷体" w:hAnsi="楷体" w:eastAsia="楷体" w:cs="仿宋_GB2312"/>
          <w:sz w:val="32"/>
          <w:szCs w:val="32"/>
        </w:rPr>
        <w:t>（一）强化财税征管，着力提升保障能力。</w:t>
      </w:r>
      <w:r>
        <w:rPr>
          <w:rFonts w:hint="eastAsia" w:ascii="仿宋_GB2312" w:eastAsia="仿宋_GB2312"/>
          <w:sz w:val="32"/>
          <w:szCs w:val="32"/>
        </w:rPr>
        <w:t>2019年，受经济下行压力和“营改增”等减税降费政策惯性影响，管委会财政要始终以财政增收为中心，强化征管措施，依法推进综合治税，加强重点行业、重点企业、重点项目和重点税种监控，加强收入分析与预测，盯紧盯牢重点领域和薄弱环节，依法有序加强征管。加大欠税清缴力度，依法采取税收保全和强制执行措施，努力压缩陈欠，杜绝新欠。加大国有土地使用权出让收入、国有资源（资产）有偿使用收入、罚没收入等非税收入的收缴力度，应收尽收，顺利实现了财政收入稳步增长。</w:t>
      </w:r>
    </w:p>
    <w:p>
      <w:pPr>
        <w:spacing w:line="600" w:lineRule="exact"/>
        <w:ind w:firstLine="640" w:firstLineChars="200"/>
        <w:rPr>
          <w:rFonts w:eastAsia="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着力打造优质的低成本化园区</w:t>
      </w:r>
      <w:r>
        <w:rPr>
          <w:rFonts w:hint="eastAsia" w:ascii="楷体" w:hAnsi="楷体" w:eastAsia="楷体" w:cs="仿宋_GB2312"/>
          <w:sz w:val="32"/>
          <w:szCs w:val="32"/>
        </w:rPr>
        <w:t>。</w:t>
      </w:r>
      <w:r>
        <w:rPr>
          <w:rFonts w:eastAsia="仿宋_GB2312"/>
          <w:sz w:val="32"/>
          <w:szCs w:val="32"/>
        </w:rPr>
        <w:t>园区是工业企业生存和发展的载体，配套设施就是园区的生命，对招商引资工作会造成巨大影响。对于目前正在大力开发的多个园区，宁东基地都坚持适度超前的理念科学合理规划各项配套设施。园区道路、供水供暖供气、污水处理、消防安全等配套基础设施投入巨大，投资必须超前，短期难以见效，但该投资支出始终要处于财政保障的优先地位，</w:t>
      </w:r>
      <w:r>
        <w:rPr>
          <w:rFonts w:hint="eastAsia" w:eastAsia="仿宋_GB2312"/>
          <w:sz w:val="32"/>
          <w:szCs w:val="32"/>
        </w:rPr>
        <w:t>2019年管委会通过</w:t>
      </w:r>
      <w:r>
        <w:rPr>
          <w:rFonts w:eastAsia="仿宋_GB2312"/>
          <w:sz w:val="32"/>
          <w:szCs w:val="32"/>
        </w:rPr>
        <w:t>多</w:t>
      </w:r>
      <w:r>
        <w:rPr>
          <w:rFonts w:hint="eastAsia" w:eastAsia="仿宋_GB2312"/>
          <w:sz w:val="32"/>
          <w:szCs w:val="32"/>
        </w:rPr>
        <w:t>种</w:t>
      </w:r>
      <w:r>
        <w:rPr>
          <w:rFonts w:eastAsia="仿宋_GB2312"/>
          <w:sz w:val="32"/>
          <w:szCs w:val="32"/>
        </w:rPr>
        <w:t>渠道</w:t>
      </w:r>
      <w:r>
        <w:rPr>
          <w:rFonts w:hint="eastAsia" w:eastAsia="仿宋_GB2312"/>
          <w:sz w:val="32"/>
          <w:szCs w:val="32"/>
        </w:rPr>
        <w:t>预计安排超过15亿元用于上述各项基础设施重点建设项目。同时</w:t>
      </w:r>
      <w:r>
        <w:rPr>
          <w:rFonts w:eastAsia="仿宋_GB2312"/>
          <w:sz w:val="32"/>
          <w:szCs w:val="32"/>
        </w:rPr>
        <w:t>采取PPP合作、特许经营、投资入股等方式，</w:t>
      </w:r>
      <w:r>
        <w:rPr>
          <w:rFonts w:hint="eastAsia" w:eastAsia="仿宋_GB2312"/>
          <w:sz w:val="32"/>
          <w:szCs w:val="32"/>
        </w:rPr>
        <w:t>调动</w:t>
      </w:r>
      <w:r>
        <w:rPr>
          <w:rFonts w:eastAsia="仿宋_GB2312"/>
          <w:sz w:val="32"/>
          <w:szCs w:val="32"/>
        </w:rPr>
        <w:t>各类</w:t>
      </w:r>
      <w:r>
        <w:rPr>
          <w:rFonts w:hint="eastAsia" w:eastAsia="仿宋_GB2312"/>
          <w:sz w:val="32"/>
          <w:szCs w:val="32"/>
        </w:rPr>
        <w:t>社会</w:t>
      </w:r>
      <w:r>
        <w:rPr>
          <w:rFonts w:eastAsia="仿宋_GB2312"/>
          <w:sz w:val="32"/>
          <w:szCs w:val="32"/>
        </w:rPr>
        <w:t>资金，</w:t>
      </w:r>
      <w:r>
        <w:rPr>
          <w:rFonts w:hint="eastAsia" w:eastAsia="仿宋_GB2312"/>
          <w:sz w:val="32"/>
          <w:szCs w:val="32"/>
        </w:rPr>
        <w:t>参与</w:t>
      </w:r>
      <w:r>
        <w:rPr>
          <w:rFonts w:eastAsia="仿宋_GB2312"/>
          <w:sz w:val="32"/>
          <w:szCs w:val="32"/>
        </w:rPr>
        <w:t>配套设施建设需要；要深刻认识企业的市场主体地位，充分理解企业对于盈利的追求和成本控制的需要，在依法合规的前提下，严格落实支持企业发展的各项补贴政策，有效的降低企业的各类生产要素成本，营造适宜的营商环境，打造优质的招商平台。</w:t>
      </w:r>
    </w:p>
    <w:p>
      <w:pPr>
        <w:widowControl/>
        <w:spacing w:line="600" w:lineRule="exact"/>
        <w:ind w:firstLine="640" w:firstLineChars="200"/>
        <w:rPr>
          <w:rFonts w:eastAsia="黑体"/>
          <w:sz w:val="32"/>
          <w:szCs w:val="32"/>
        </w:rPr>
      </w:pPr>
      <w:r>
        <w:rPr>
          <w:rFonts w:hint="eastAsia" w:ascii="楷体" w:hAnsi="楷体" w:eastAsia="楷体" w:cs="仿宋_GB2312"/>
          <w:sz w:val="32"/>
          <w:szCs w:val="32"/>
        </w:rPr>
        <w:t>(三)</w:t>
      </w:r>
      <w:r>
        <w:rPr>
          <w:rFonts w:ascii="楷体" w:hAnsi="楷体" w:eastAsia="楷体" w:cs="仿宋_GB2312"/>
          <w:sz w:val="32"/>
          <w:szCs w:val="32"/>
        </w:rPr>
        <w:t>落实创新驱动和人才发展战略</w:t>
      </w:r>
      <w:r>
        <w:rPr>
          <w:rFonts w:hint="eastAsia" w:ascii="楷体" w:hAnsi="楷体" w:eastAsia="楷体" w:cs="仿宋_GB2312"/>
          <w:sz w:val="32"/>
          <w:szCs w:val="32"/>
        </w:rPr>
        <w:t>。</w:t>
      </w:r>
      <w:r>
        <w:rPr>
          <w:rFonts w:eastAsia="华文仿宋"/>
          <w:sz w:val="32"/>
          <w:szCs w:val="32"/>
        </w:rPr>
        <w:t>创新是引领发展的第一动力，抓创新就是抓发展。宁东基地要推进工业生产和科技研发的深度整合，突出企业的创新地位，紧紧围绕自治区沿黄科技改革试验区工作，支持企业培育科研力量，强化产业技术攻关、依靠科技创新改造提升传统产业，引导企业</w:t>
      </w:r>
      <w:r>
        <w:rPr>
          <w:rFonts w:eastAsia="仿宋_GB2312"/>
          <w:sz w:val="32"/>
          <w:szCs w:val="32"/>
        </w:rPr>
        <w:t>节能降耗及技术改造，</w:t>
      </w:r>
      <w:r>
        <w:rPr>
          <w:rFonts w:eastAsia="华文仿宋"/>
          <w:sz w:val="32"/>
          <w:szCs w:val="32"/>
        </w:rPr>
        <w:t>提升产品科技水平，增强企业市场竞争能力，加快培训发展新动能</w:t>
      </w:r>
      <w:r>
        <w:rPr>
          <w:rFonts w:hint="eastAsia" w:eastAsia="华文仿宋"/>
          <w:sz w:val="32"/>
          <w:szCs w:val="32"/>
        </w:rPr>
        <w:t>。</w:t>
      </w:r>
      <w:r>
        <w:rPr>
          <w:rFonts w:eastAsia="华文仿宋"/>
          <w:sz w:val="32"/>
          <w:szCs w:val="32"/>
        </w:rPr>
        <w:t>着力打造煤化工人才高地，对于已经出台人才引进政策，</w:t>
      </w:r>
      <w:r>
        <w:rPr>
          <w:rFonts w:hint="eastAsia" w:eastAsia="华文仿宋"/>
          <w:sz w:val="32"/>
          <w:szCs w:val="32"/>
        </w:rPr>
        <w:t>并</w:t>
      </w:r>
      <w:r>
        <w:rPr>
          <w:rFonts w:eastAsia="华文仿宋"/>
          <w:sz w:val="32"/>
          <w:szCs w:val="32"/>
        </w:rPr>
        <w:t>认真落实，让科技人才切实感受到宁东基地引进人才、培养人才、使用人才的真诚；同时持续优化人才引进政策环境，遵循人才成长规律，不断创新人才培育机制，打造能让人才充分发挥作用优质平台</w:t>
      </w:r>
      <w:r>
        <w:rPr>
          <w:rFonts w:hint="eastAsia" w:eastAsia="华文仿宋"/>
          <w:sz w:val="32"/>
          <w:szCs w:val="32"/>
        </w:rPr>
        <w:t>，为此，2019年安排科技创新及人才专项资金8,364万元</w:t>
      </w:r>
      <w:r>
        <w:rPr>
          <w:rFonts w:eastAsia="华文仿宋"/>
          <w:sz w:val="32"/>
          <w:szCs w:val="32"/>
        </w:rPr>
        <w:t>。</w:t>
      </w:r>
      <w:r>
        <w:rPr>
          <w:rFonts w:hint="eastAsia" w:eastAsia="华文仿宋"/>
          <w:sz w:val="32"/>
          <w:szCs w:val="32"/>
        </w:rPr>
        <w:t>安排8,400万元</w:t>
      </w:r>
      <w:r>
        <w:rPr>
          <w:rFonts w:eastAsia="仿宋_GB2312"/>
          <w:sz w:val="32"/>
          <w:szCs w:val="32"/>
        </w:rPr>
        <w:t>重点支持中小企业技术发展，提高科技对企业与园区发展的推动作用；进一步构建与完善科技企业服务体系，支持运用投资、科技孵化、政策补贴等形式支持科技企业发展，支持技术人才创新创业。</w:t>
      </w:r>
    </w:p>
    <w:p>
      <w:pPr>
        <w:widowControl/>
        <w:spacing w:line="600" w:lineRule="exact"/>
        <w:ind w:firstLine="640" w:firstLineChars="200"/>
        <w:rPr>
          <w:rFonts w:eastAsia="华文仿宋"/>
          <w:sz w:val="32"/>
          <w:szCs w:val="32"/>
        </w:rPr>
      </w:pPr>
      <w:r>
        <w:rPr>
          <w:rFonts w:hint="eastAsia" w:ascii="楷体" w:hAnsi="楷体" w:eastAsia="楷体" w:cs="仿宋_GB2312"/>
          <w:sz w:val="32"/>
          <w:szCs w:val="32"/>
        </w:rPr>
        <w:t>（四）坚持改善民生，着力增进人民福祉。</w:t>
      </w:r>
      <w:r>
        <w:rPr>
          <w:rFonts w:hint="eastAsia" w:eastAsia="华文仿宋"/>
          <w:sz w:val="32"/>
          <w:szCs w:val="32"/>
        </w:rPr>
        <w:t>坚持有保有压，不断加大财政政策和资金向民生倾斜的力度。大力推进脱贫富民政策，为定点扶贫、易地扶贫搬迁安置房购置、移民社保生活教育补助等事项安排945万元。安排1.48亿元，用于灵新矿、民惠苑棚户区改造项目、解决公租房物业及取暖问题，改善人民群众和企业用工的居住环境和居住条件。认真落实教育优先发展，在落实生公用经费标准的基础上，又安排2,000万元改善薄弱学校基本办学条件，促进城乡教育均衡发展。加大社会保障事业投入，安排基本公共卫生服务、低保、残疾人、城乡居民养老保险和医疗保险补助等资金预算2,400万元。为提高宁东应对突发安全生产事故医疗保障水平和日常就医需求，安排宁东医疗和公共卫生中心设备采购、公共卫生服务配套、公立医院改革等资金8,000万元。</w:t>
      </w:r>
    </w:p>
    <w:p>
      <w:pPr>
        <w:spacing w:line="600" w:lineRule="exact"/>
        <w:ind w:firstLine="640" w:firstLineChars="200"/>
        <w:rPr>
          <w:rFonts w:eastAsia="仿宋_GB2312"/>
          <w:sz w:val="32"/>
          <w:szCs w:val="32"/>
        </w:rPr>
      </w:pPr>
      <w:r>
        <w:rPr>
          <w:rFonts w:hint="eastAsia" w:ascii="楷体" w:hAnsi="楷体" w:eastAsia="楷体" w:cs="仿宋_GB2312"/>
          <w:sz w:val="32"/>
          <w:szCs w:val="32"/>
        </w:rPr>
        <w:t>（五）</w:t>
      </w:r>
      <w:r>
        <w:rPr>
          <w:rFonts w:ascii="楷体" w:hAnsi="楷体" w:eastAsia="楷体" w:cs="仿宋_GB2312"/>
          <w:sz w:val="32"/>
          <w:szCs w:val="32"/>
        </w:rPr>
        <w:t>构建资本服务平台促进产业发展</w:t>
      </w:r>
      <w:r>
        <w:rPr>
          <w:rFonts w:hint="eastAsia" w:ascii="楷体" w:hAnsi="楷体" w:eastAsia="楷体" w:cs="仿宋_GB2312"/>
          <w:sz w:val="32"/>
          <w:szCs w:val="32"/>
        </w:rPr>
        <w:t>。</w:t>
      </w:r>
      <w:r>
        <w:rPr>
          <w:rFonts w:eastAsia="仿宋_GB2312"/>
          <w:sz w:val="32"/>
          <w:szCs w:val="32"/>
        </w:rPr>
        <w:t>为提高基地产业配套服务水平，发挥财政资金杠杆作用，推动财政资金与金融资本融合，</w:t>
      </w:r>
      <w:r>
        <w:rPr>
          <w:rFonts w:hint="eastAsia" w:eastAsia="仿宋_GB2312"/>
          <w:sz w:val="32"/>
          <w:szCs w:val="32"/>
        </w:rPr>
        <w:t>解决企业融资难的问题，</w:t>
      </w:r>
      <w:r>
        <w:rPr>
          <w:rFonts w:eastAsia="仿宋_GB2312"/>
          <w:sz w:val="32"/>
          <w:szCs w:val="32"/>
        </w:rPr>
        <w:t>加快引导社会资本投资，</w:t>
      </w:r>
      <w:r>
        <w:rPr>
          <w:rFonts w:hint="eastAsia" w:eastAsia="仿宋_GB2312"/>
          <w:sz w:val="32"/>
          <w:szCs w:val="32"/>
        </w:rPr>
        <w:t>继续对</w:t>
      </w:r>
      <w:r>
        <w:rPr>
          <w:rFonts w:eastAsia="仿宋_GB2312"/>
          <w:sz w:val="32"/>
          <w:szCs w:val="32"/>
        </w:rPr>
        <w:t>宁东投资公司、宁东担保公司</w:t>
      </w:r>
      <w:r>
        <w:rPr>
          <w:rFonts w:hint="eastAsia" w:eastAsia="仿宋_GB2312"/>
          <w:sz w:val="32"/>
          <w:szCs w:val="32"/>
        </w:rPr>
        <w:t>投入资本金7.3亿元左右</w:t>
      </w:r>
      <w:r>
        <w:rPr>
          <w:rFonts w:eastAsia="仿宋_GB2312"/>
          <w:sz w:val="32"/>
          <w:szCs w:val="32"/>
        </w:rPr>
        <w:t>，从财政支出端，运用财政杠杆撬动，</w:t>
      </w:r>
      <w:r>
        <w:rPr>
          <w:rFonts w:hint="eastAsia" w:eastAsia="仿宋_GB2312"/>
          <w:sz w:val="32"/>
          <w:szCs w:val="32"/>
        </w:rPr>
        <w:t>重点通过设立宁东产业发展基金、参与都市圈基金、直接出资入股等方式，</w:t>
      </w:r>
      <w:r>
        <w:rPr>
          <w:rFonts w:eastAsia="仿宋_GB2312"/>
          <w:sz w:val="32"/>
          <w:szCs w:val="32"/>
        </w:rPr>
        <w:t>提高投融资能力建设，吸引各类资本参与</w:t>
      </w:r>
      <w:r>
        <w:rPr>
          <w:rFonts w:hint="eastAsia" w:eastAsia="仿宋_GB2312"/>
          <w:sz w:val="32"/>
          <w:szCs w:val="32"/>
        </w:rPr>
        <w:t>，助推产业发展，积极</w:t>
      </w:r>
      <w:r>
        <w:rPr>
          <w:rFonts w:eastAsia="仿宋_GB2312"/>
          <w:sz w:val="32"/>
          <w:szCs w:val="32"/>
        </w:rPr>
        <w:t>构建财政资金、社会资本、金融资本融合的投融资体系</w:t>
      </w:r>
      <w:r>
        <w:rPr>
          <w:rFonts w:hint="eastAsia" w:eastAsia="仿宋_GB2312"/>
          <w:sz w:val="32"/>
          <w:szCs w:val="32"/>
        </w:rPr>
        <w:t>，重点</w:t>
      </w:r>
      <w:r>
        <w:rPr>
          <w:rFonts w:eastAsia="仿宋_GB2312"/>
          <w:sz w:val="32"/>
          <w:szCs w:val="32"/>
        </w:rPr>
        <w:t>支持</w:t>
      </w:r>
      <w:r>
        <w:rPr>
          <w:rFonts w:hint="eastAsia" w:eastAsia="仿宋_GB2312"/>
          <w:sz w:val="32"/>
          <w:szCs w:val="32"/>
        </w:rPr>
        <w:t>江苏百川、乙二醇、泰胜、百斯特等对宁东基地产业转型升级有</w:t>
      </w:r>
      <w:r>
        <w:rPr>
          <w:rFonts w:eastAsia="仿宋_GB2312"/>
          <w:sz w:val="32"/>
          <w:szCs w:val="32"/>
        </w:rPr>
        <w:t>重大</w:t>
      </w:r>
      <w:r>
        <w:rPr>
          <w:rFonts w:hint="eastAsia" w:eastAsia="仿宋_GB2312"/>
          <w:sz w:val="32"/>
          <w:szCs w:val="32"/>
        </w:rPr>
        <w:t>引领作用的</w:t>
      </w:r>
      <w:r>
        <w:rPr>
          <w:rFonts w:eastAsia="仿宋_GB2312"/>
          <w:sz w:val="32"/>
          <w:szCs w:val="32"/>
        </w:rPr>
        <w:t>项目</w:t>
      </w:r>
      <w:r>
        <w:rPr>
          <w:rFonts w:hint="eastAsia" w:eastAsia="仿宋_GB2312"/>
          <w:sz w:val="32"/>
          <w:szCs w:val="32"/>
        </w:rPr>
        <w:t>投资建设</w:t>
      </w:r>
      <w:r>
        <w:rPr>
          <w:rFonts w:eastAsia="仿宋_GB2312"/>
          <w:sz w:val="32"/>
          <w:szCs w:val="32"/>
        </w:rPr>
        <w:t>，</w:t>
      </w:r>
      <w:r>
        <w:rPr>
          <w:rFonts w:hint="eastAsia" w:eastAsia="仿宋_GB2312"/>
          <w:sz w:val="32"/>
          <w:szCs w:val="32"/>
        </w:rPr>
        <w:t>发挥了重要的引导作用。</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（六）</w:t>
      </w:r>
      <w:r>
        <w:rPr>
          <w:rFonts w:hint="eastAsia" w:ascii="楷体" w:hAnsi="楷体" w:eastAsia="楷体" w:cs="仿宋_GB2312"/>
          <w:sz w:val="32"/>
          <w:szCs w:val="32"/>
        </w:rPr>
        <w:t>继续加强财政管理、防洪化解债务风险。</w:t>
      </w:r>
      <w:r>
        <w:rPr>
          <w:rFonts w:hint="eastAsia" w:ascii="仿宋_GB2312" w:hAnsi="仿宋_GB2312" w:eastAsia="仿宋_GB2312" w:cs="仿宋_GB2312"/>
          <w:sz w:val="32"/>
          <w:szCs w:val="32"/>
        </w:rPr>
        <w:t>一是</w:t>
      </w:r>
      <w:r>
        <w:rPr>
          <w:rFonts w:hint="eastAsia" w:ascii="仿宋_GB2312" w:eastAsia="仿宋_GB2312"/>
          <w:sz w:val="32"/>
          <w:szCs w:val="32"/>
        </w:rPr>
        <w:t>夯实国库集中支付制度基础，全面推行电子化、网络化支付，推进非税收入电子化管理。</w:t>
      </w:r>
      <w:r>
        <w:rPr>
          <w:rFonts w:hint="eastAsia" w:ascii="仿宋_GB2312" w:hAnsi="仿宋_GB2312" w:eastAsia="仿宋_GB2312" w:cs="仿宋_GB2312"/>
          <w:sz w:val="32"/>
          <w:szCs w:val="32"/>
        </w:rPr>
        <w:t>二是进一步提高预算执行管理水平，强化预算单位作为预算执行主体的地位。三是继续加大财政存量资金管理，对当年预算未能执行的项目资金、部门结余资金及连续两年未用完的专项结转资金，由管委会全部收回统筹使用，提高资金使用效率。四是认真做好预决算信息公开，按照规定做好财政预决算、部门预决算、“三公”经费、</w:t>
      </w:r>
      <w:r>
        <w:rPr>
          <w:rFonts w:hint="eastAsia" w:ascii="仿宋_GB2312" w:eastAsia="仿宋_GB2312"/>
          <w:sz w:val="32"/>
          <w:szCs w:val="32"/>
        </w:rPr>
        <w:t>各类补贴资金等信息公开工作。五是深入推进政府会计制度改革，建立健全政府财务报告制度；六是强化地方政府债务管理，严格政府债务限额管理，坚决杜绝新增</w:t>
      </w:r>
      <w:r>
        <w:rPr>
          <w:rFonts w:hint="eastAsia" w:ascii="仿宋_GB2312" w:hAnsi="仿宋_GB2312" w:eastAsia="仿宋_GB2312" w:cs="仿宋_GB2312"/>
          <w:sz w:val="32"/>
          <w:szCs w:val="32"/>
        </w:rPr>
        <w:t>隐性债务发生，妥善处理存量隐形债务，</w:t>
      </w:r>
      <w:r>
        <w:rPr>
          <w:rFonts w:hint="eastAsia" w:ascii="仿宋_GB2312" w:eastAsia="仿宋_GB2312"/>
          <w:sz w:val="32"/>
          <w:szCs w:val="32"/>
        </w:rPr>
        <w:t>防范化解债务风险。</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名词解释</w:t>
      </w:r>
    </w:p>
    <w:p>
      <w:pPr>
        <w:spacing w:line="560" w:lineRule="exact"/>
        <w:jc w:val="center"/>
        <w:rPr>
          <w:rFonts w:ascii="方正小标宋简体" w:hAnsi="方正小标宋简体" w:eastAsia="方正小标宋简体" w:cs="方正小标宋简体"/>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1.三大战略：自治区第十二次党代会提出的创新驱动战略、脱贫富民战略、生态立区战略。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2.三大攻坚战：习近平总书记在十九大报告中首次提出要坚决打好防范化解重大风险、精准脱贫、污染防治的攻坚战。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3.一般公共预算：是对税收为主体的财政收入，安排用于保障和改善民生、推动经济社会发展、维护国家安全、维持国家机构正常运转等方面的收支预算。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4.政府性基金预算：是对法律、行政法规的规定在一定期限内向特定对象征收、收取或者以其他方式筹集的资金，专项用于特定公共事业发展的收支预算。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5.国有资本经营预算：是对国有资本收益作出支出安排的收支预算。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6.社会保险基金预算：是对社会保险缴费、一般公共预算安排和其他方式筹集的资金，专项用于社会保险的收支预算。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预算稳定调节基金：是指财政通过超收收入和支出预算结余安排的具有储备性质的基金，视预算平衡情况，在安排下年度预算时调入并安排使用，或用于弥补短收年份预算执行的收支缺口，基金的安排使用接受同级人大及其常委会的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地方政府债券：是指经国务院批准同意，以省、自治区、直辖市和计划单列市政府为偿还主体，按照财政部规定方式组织发行的债券，主要用于公益性项目建设支出等方面。具体分为新增债券和置换债券，新增债券是指由地方政府发行用于新增建设项目的债券；置换债券是指由地方政府发行用于偿还经清理甄别锁定的政府存量债务的债券。</w:t>
      </w:r>
    </w:p>
    <w:p>
      <w:pPr>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附件：1.</w:t>
      </w:r>
      <w:r>
        <w:rPr>
          <w:rFonts w:ascii="仿宋_GB2312" w:eastAsia="仿宋_GB2312"/>
          <w:sz w:val="32"/>
          <w:szCs w:val="32"/>
        </w:rPr>
        <w:t xml:space="preserve"> </w:t>
      </w:r>
      <w:r>
        <w:rPr>
          <w:rFonts w:hint="eastAsia" w:ascii="仿宋_GB2312" w:eastAsia="仿宋_GB2312"/>
          <w:sz w:val="32"/>
          <w:szCs w:val="32"/>
        </w:rPr>
        <w:t>2019年宁东基地管委会预算附表</w:t>
      </w:r>
    </w:p>
    <w:p>
      <w:pPr>
        <w:rPr>
          <w:rFonts w:ascii="仿宋_GB2312" w:eastAsia="仿宋_GB2312"/>
          <w:sz w:val="32"/>
          <w:szCs w:val="32"/>
        </w:rPr>
      </w:pPr>
    </w:p>
    <w:sectPr>
      <w:footerReference r:id="rId4" w:type="default"/>
      <w:footerReference r:id="rId5" w:type="even"/>
      <w:pgSz w:w="11907" w:h="16840"/>
      <w:pgMar w:top="1440" w:right="1474" w:bottom="1191" w:left="1701" w:header="851" w:footer="992" w:gutter="0"/>
      <w:cols w:space="1026"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0"/>
        </w:rPr>
        <w:footnoteRef/>
      </w:r>
      <w:r>
        <w:rPr>
          <w:rFonts w:hint="eastAsia"/>
        </w:rPr>
        <w:t>2017年PPP股权转让收入40,774万元，该项收入为一次性收入。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EE0C"/>
    <w:multiLevelType w:val="singleLevel"/>
    <w:tmpl w:val="5868EE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RmYTA0NWMzYTA1ZDhjYTg2ZmYyZGM4NDVkYzYyNmUifQ=="/>
  </w:docVars>
  <w:rsids>
    <w:rsidRoot w:val="0013738B"/>
    <w:rsid w:val="00025371"/>
    <w:rsid w:val="000639FA"/>
    <w:rsid w:val="000A26BA"/>
    <w:rsid w:val="000A4359"/>
    <w:rsid w:val="000E7336"/>
    <w:rsid w:val="000F79BE"/>
    <w:rsid w:val="0013738B"/>
    <w:rsid w:val="001879DC"/>
    <w:rsid w:val="001D04E0"/>
    <w:rsid w:val="001F4B60"/>
    <w:rsid w:val="00206F91"/>
    <w:rsid w:val="002148F8"/>
    <w:rsid w:val="00227D62"/>
    <w:rsid w:val="00246DB7"/>
    <w:rsid w:val="002826D0"/>
    <w:rsid w:val="00285A37"/>
    <w:rsid w:val="002877B5"/>
    <w:rsid w:val="00287C31"/>
    <w:rsid w:val="00294C72"/>
    <w:rsid w:val="00296DBE"/>
    <w:rsid w:val="002A4E7B"/>
    <w:rsid w:val="002E4C6A"/>
    <w:rsid w:val="002F25A9"/>
    <w:rsid w:val="0035254F"/>
    <w:rsid w:val="00353ECB"/>
    <w:rsid w:val="00377506"/>
    <w:rsid w:val="003859AC"/>
    <w:rsid w:val="0039160A"/>
    <w:rsid w:val="003E5CD6"/>
    <w:rsid w:val="003F670B"/>
    <w:rsid w:val="00414194"/>
    <w:rsid w:val="00414E85"/>
    <w:rsid w:val="004150D8"/>
    <w:rsid w:val="00415A90"/>
    <w:rsid w:val="00432D6A"/>
    <w:rsid w:val="004619B1"/>
    <w:rsid w:val="0047496A"/>
    <w:rsid w:val="004B350E"/>
    <w:rsid w:val="004E00FE"/>
    <w:rsid w:val="004E679A"/>
    <w:rsid w:val="004F6CB6"/>
    <w:rsid w:val="004F7072"/>
    <w:rsid w:val="00500366"/>
    <w:rsid w:val="0057385F"/>
    <w:rsid w:val="00577C59"/>
    <w:rsid w:val="00580AA4"/>
    <w:rsid w:val="0058548D"/>
    <w:rsid w:val="005C6AE2"/>
    <w:rsid w:val="005D2A1C"/>
    <w:rsid w:val="005D6344"/>
    <w:rsid w:val="005E61CE"/>
    <w:rsid w:val="005F5B42"/>
    <w:rsid w:val="00662BA0"/>
    <w:rsid w:val="0068190A"/>
    <w:rsid w:val="00691783"/>
    <w:rsid w:val="00697285"/>
    <w:rsid w:val="006B4962"/>
    <w:rsid w:val="006C229E"/>
    <w:rsid w:val="006D1E4C"/>
    <w:rsid w:val="006E6708"/>
    <w:rsid w:val="006F605E"/>
    <w:rsid w:val="0070762D"/>
    <w:rsid w:val="007412FE"/>
    <w:rsid w:val="00742A3F"/>
    <w:rsid w:val="007A2889"/>
    <w:rsid w:val="007E3BC9"/>
    <w:rsid w:val="008139D0"/>
    <w:rsid w:val="00817CE2"/>
    <w:rsid w:val="008460B8"/>
    <w:rsid w:val="00887850"/>
    <w:rsid w:val="008951F0"/>
    <w:rsid w:val="008D1167"/>
    <w:rsid w:val="008D7EF7"/>
    <w:rsid w:val="008E14BC"/>
    <w:rsid w:val="008F5882"/>
    <w:rsid w:val="00910966"/>
    <w:rsid w:val="00940214"/>
    <w:rsid w:val="00967D19"/>
    <w:rsid w:val="00996153"/>
    <w:rsid w:val="009E3EB8"/>
    <w:rsid w:val="00A57698"/>
    <w:rsid w:val="00A829C5"/>
    <w:rsid w:val="00AC6833"/>
    <w:rsid w:val="00B368D2"/>
    <w:rsid w:val="00B61EC6"/>
    <w:rsid w:val="00B90D9C"/>
    <w:rsid w:val="00BA26BC"/>
    <w:rsid w:val="00BE00B4"/>
    <w:rsid w:val="00BE0847"/>
    <w:rsid w:val="00BE37D0"/>
    <w:rsid w:val="00C00D8F"/>
    <w:rsid w:val="00C040D5"/>
    <w:rsid w:val="00C061FB"/>
    <w:rsid w:val="00C23564"/>
    <w:rsid w:val="00C554E0"/>
    <w:rsid w:val="00C90A86"/>
    <w:rsid w:val="00C90F71"/>
    <w:rsid w:val="00D77543"/>
    <w:rsid w:val="00D92D1B"/>
    <w:rsid w:val="00D9368D"/>
    <w:rsid w:val="00DC0CD4"/>
    <w:rsid w:val="00DE6B89"/>
    <w:rsid w:val="00E030E2"/>
    <w:rsid w:val="00E24E18"/>
    <w:rsid w:val="00E25B94"/>
    <w:rsid w:val="00E269C8"/>
    <w:rsid w:val="00EA150D"/>
    <w:rsid w:val="00EC56BB"/>
    <w:rsid w:val="00ED239A"/>
    <w:rsid w:val="00F55233"/>
    <w:rsid w:val="00F6733E"/>
    <w:rsid w:val="00F67A0F"/>
    <w:rsid w:val="00FB0057"/>
    <w:rsid w:val="00FE5B6A"/>
    <w:rsid w:val="031040B0"/>
    <w:rsid w:val="0337433F"/>
    <w:rsid w:val="04E25014"/>
    <w:rsid w:val="05AC11BF"/>
    <w:rsid w:val="06A63E72"/>
    <w:rsid w:val="081A70A6"/>
    <w:rsid w:val="0A1801E2"/>
    <w:rsid w:val="0A776508"/>
    <w:rsid w:val="0B7F729A"/>
    <w:rsid w:val="0DFD3866"/>
    <w:rsid w:val="0E091B8B"/>
    <w:rsid w:val="0EAF2460"/>
    <w:rsid w:val="0EE861C3"/>
    <w:rsid w:val="1170411D"/>
    <w:rsid w:val="132461F3"/>
    <w:rsid w:val="13715C52"/>
    <w:rsid w:val="15F01608"/>
    <w:rsid w:val="16C9221D"/>
    <w:rsid w:val="1818717B"/>
    <w:rsid w:val="18591544"/>
    <w:rsid w:val="18674F56"/>
    <w:rsid w:val="18904165"/>
    <w:rsid w:val="19A25806"/>
    <w:rsid w:val="19B277CE"/>
    <w:rsid w:val="1A425D04"/>
    <w:rsid w:val="1E65088D"/>
    <w:rsid w:val="243B528C"/>
    <w:rsid w:val="244E73E3"/>
    <w:rsid w:val="27ED1296"/>
    <w:rsid w:val="297050CD"/>
    <w:rsid w:val="29D70DD9"/>
    <w:rsid w:val="2B9F0788"/>
    <w:rsid w:val="2C4778F0"/>
    <w:rsid w:val="2E5647BA"/>
    <w:rsid w:val="34B9041A"/>
    <w:rsid w:val="369A6D6F"/>
    <w:rsid w:val="3F4B15CE"/>
    <w:rsid w:val="428A5AA0"/>
    <w:rsid w:val="42AB6133"/>
    <w:rsid w:val="42C06F99"/>
    <w:rsid w:val="439A41D8"/>
    <w:rsid w:val="444A34A3"/>
    <w:rsid w:val="454A6CC9"/>
    <w:rsid w:val="46483585"/>
    <w:rsid w:val="483F6A5A"/>
    <w:rsid w:val="48AE12C1"/>
    <w:rsid w:val="4E4444E5"/>
    <w:rsid w:val="4F410F87"/>
    <w:rsid w:val="514112C5"/>
    <w:rsid w:val="51F41046"/>
    <w:rsid w:val="525479A7"/>
    <w:rsid w:val="531757FD"/>
    <w:rsid w:val="556805E7"/>
    <w:rsid w:val="556B0E80"/>
    <w:rsid w:val="558A1067"/>
    <w:rsid w:val="5ADD2EF3"/>
    <w:rsid w:val="5B8F7160"/>
    <w:rsid w:val="5C3E0DBA"/>
    <w:rsid w:val="61AB4E1D"/>
    <w:rsid w:val="638C25DE"/>
    <w:rsid w:val="66A51E98"/>
    <w:rsid w:val="6772622F"/>
    <w:rsid w:val="686C5E23"/>
    <w:rsid w:val="6B6A40C5"/>
    <w:rsid w:val="716861BC"/>
    <w:rsid w:val="72ED4D84"/>
    <w:rsid w:val="742B5EF0"/>
    <w:rsid w:val="748263ED"/>
    <w:rsid w:val="757A22BA"/>
    <w:rsid w:val="75D664E7"/>
    <w:rsid w:val="7874140B"/>
    <w:rsid w:val="7A15273D"/>
    <w:rsid w:val="7B0E4D7D"/>
    <w:rsid w:val="7B77517C"/>
    <w:rsid w:val="7D4038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0"/>
    <w:pPr>
      <w:ind w:right="-178" w:rightChars="-85" w:firstLine="645"/>
      <w:jc w:val="left"/>
    </w:pPr>
    <w:rPr>
      <w:rFonts w:ascii="仿宋_GB2312" w:eastAsia="仿宋_GB2312"/>
      <w:sz w:val="32"/>
    </w:r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character" w:styleId="9">
    <w:name w:val="page number"/>
    <w:basedOn w:val="8"/>
    <w:qFormat/>
    <w:uiPriority w:val="0"/>
  </w:style>
  <w:style w:type="character" w:styleId="10">
    <w:name w:val="footnote reference"/>
    <w:basedOn w:val="8"/>
    <w:qFormat/>
    <w:uiPriority w:val="0"/>
    <w:rPr>
      <w:vertAlign w:val="superscript"/>
    </w:rPr>
  </w:style>
  <w:style w:type="character" w:customStyle="1" w:styleId="11">
    <w:name w:val="页脚 Char"/>
    <w:basedOn w:val="8"/>
    <w:link w:val="4"/>
    <w:qFormat/>
    <w:uiPriority w:val="0"/>
    <w:rPr>
      <w:kern w:val="2"/>
      <w:sz w:val="18"/>
      <w:szCs w:val="18"/>
    </w:rPr>
  </w:style>
  <w:style w:type="character" w:customStyle="1" w:styleId="12">
    <w:name w:val="正文文本缩进 2 Char"/>
    <w:basedOn w:val="8"/>
    <w:link w:val="2"/>
    <w:qFormat/>
    <w:uiPriority w:val="0"/>
    <w:rPr>
      <w:rFonts w:ascii="仿宋_GB2312" w:eastAsia="仿宋_GB2312"/>
      <w:kern w:val="2"/>
      <w:sz w:val="32"/>
      <w:szCs w:val="24"/>
    </w:rPr>
  </w:style>
  <w:style w:type="character" w:customStyle="1" w:styleId="13">
    <w:name w:val="页眉 Char"/>
    <w:basedOn w:val="8"/>
    <w:link w:val="5"/>
    <w:qFormat/>
    <w:uiPriority w:val="0"/>
    <w:rPr>
      <w:kern w:val="2"/>
      <w:sz w:val="18"/>
      <w:szCs w:val="18"/>
    </w:rPr>
  </w:style>
  <w:style w:type="character" w:customStyle="1" w:styleId="14">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ningdong</Company>
  <Pages>25</Pages>
  <Words>12252</Words>
  <Characters>14822</Characters>
  <Lines>33</Lines>
  <Paragraphs>32</Paragraphs>
  <TotalTime>3</TotalTime>
  <ScaleCrop>false</ScaleCrop>
  <LinksUpToDate>false</LinksUpToDate>
  <CharactersWithSpaces>15471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2019-01-11T01:26:00Z</dcterms:created>
  <dc:creator>王学冕</dc:creator>
  <cp:lastModifiedBy>Administrator</cp:lastModifiedBy>
  <cp:lastPrinted>2019-01-23T05:54:00Z</cp:lastPrinted>
  <dcterms:modified xsi:type="dcterms:W3CDTF">2025-06-18T06:17:07Z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F9B442BD798543C38AF1D9B7C76038F1</vt:lpwstr>
  </property>
</Properties>
</file>