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233B02">
      <w:pPr>
        <w:ind w:firstLine="640"/>
      </w:pPr>
    </w:p>
    <w:p w14:paraId="0D1F749E">
      <w:pPr>
        <w:ind w:firstLine="640"/>
      </w:pPr>
    </w:p>
    <w:p w14:paraId="373AC259">
      <w:pPr>
        <w:ind w:firstLine="640"/>
      </w:pPr>
    </w:p>
    <w:p w14:paraId="62B6A58A">
      <w:pPr>
        <w:ind w:firstLine="640"/>
      </w:pPr>
    </w:p>
    <w:p w14:paraId="403D7B7B">
      <w:pPr>
        <w:ind w:firstLine="0" w:firstLineChars="0"/>
        <w:jc w:val="center"/>
        <w:rPr>
          <w:rFonts w:ascii="方正小标宋简体" w:eastAsia="方正小标宋简体"/>
          <w:sz w:val="44"/>
          <w:szCs w:val="44"/>
        </w:rPr>
      </w:pPr>
      <w:r>
        <w:rPr>
          <w:rFonts w:hint="eastAsia" w:ascii="方正小标宋简体" w:eastAsia="方正小标宋简体"/>
          <w:sz w:val="44"/>
          <w:szCs w:val="44"/>
        </w:rPr>
        <w:t>宁东能源化工基地宁夏中泰富瑞科技有限公司“</w:t>
      </w:r>
      <w:r>
        <w:rPr>
          <w:rFonts w:hint="eastAsia" w:ascii="方正小标宋简体" w:eastAsia="方正小标宋简体" w:hAnsiTheme="majorEastAsia"/>
          <w:sz w:val="44"/>
          <w:szCs w:val="44"/>
        </w:rPr>
        <w:t>9·29</w:t>
      </w:r>
      <w:r>
        <w:rPr>
          <w:rFonts w:hint="eastAsia" w:ascii="方正小标宋简体" w:eastAsia="方正小标宋简体"/>
          <w:sz w:val="44"/>
          <w:szCs w:val="44"/>
        </w:rPr>
        <w:t>”一般中毒和窒息</w:t>
      </w:r>
      <w:r>
        <w:rPr>
          <w:rFonts w:hint="eastAsia" w:ascii="方正小标宋简体" w:eastAsia="方正小标宋简体"/>
          <w:sz w:val="44"/>
          <w:szCs w:val="44"/>
        </w:rPr>
        <w:br w:type="textWrapping"/>
      </w:r>
      <w:r>
        <w:rPr>
          <w:rFonts w:hint="eastAsia" w:ascii="方正小标宋简体" w:eastAsia="方正小标宋简体"/>
          <w:sz w:val="44"/>
          <w:szCs w:val="44"/>
        </w:rPr>
        <w:t>事故调查报告</w:t>
      </w:r>
    </w:p>
    <w:p w14:paraId="174C7C06">
      <w:pPr>
        <w:ind w:firstLine="640"/>
      </w:pPr>
    </w:p>
    <w:p w14:paraId="51D6B7F1">
      <w:pPr>
        <w:ind w:firstLine="640"/>
      </w:pPr>
    </w:p>
    <w:p w14:paraId="38480A88">
      <w:pPr>
        <w:ind w:firstLine="640"/>
      </w:pPr>
    </w:p>
    <w:p w14:paraId="094840B2">
      <w:pPr>
        <w:ind w:firstLine="640"/>
      </w:pPr>
    </w:p>
    <w:p w14:paraId="594327D2">
      <w:pPr>
        <w:ind w:firstLine="640"/>
      </w:pPr>
    </w:p>
    <w:p w14:paraId="28B0B3D1">
      <w:pPr>
        <w:ind w:firstLine="640"/>
      </w:pPr>
    </w:p>
    <w:p w14:paraId="152014F4">
      <w:pPr>
        <w:ind w:firstLine="640"/>
      </w:pPr>
    </w:p>
    <w:p w14:paraId="6E94EBD3">
      <w:pPr>
        <w:ind w:firstLine="640"/>
      </w:pPr>
    </w:p>
    <w:p w14:paraId="64963C55">
      <w:pPr>
        <w:ind w:firstLine="640"/>
      </w:pPr>
    </w:p>
    <w:p w14:paraId="360BB3F1">
      <w:pPr>
        <w:ind w:firstLine="640"/>
      </w:pPr>
    </w:p>
    <w:p w14:paraId="28120797">
      <w:pPr>
        <w:ind w:firstLine="640"/>
      </w:pPr>
    </w:p>
    <w:p w14:paraId="6E2FBEA2">
      <w:pPr>
        <w:ind w:firstLine="640"/>
      </w:pPr>
    </w:p>
    <w:p w14:paraId="14EAD4BB">
      <w:pPr>
        <w:spacing w:before="114" w:line="660" w:lineRule="exact"/>
        <w:ind w:firstLine="197" w:firstLineChars="54"/>
        <w:jc w:val="center"/>
        <w:rPr>
          <w:rFonts w:ascii="楷体" w:hAnsi="楷体" w:eastAsia="楷体" w:cs="楷体"/>
          <w:sz w:val="35"/>
          <w:szCs w:val="35"/>
        </w:rPr>
      </w:pPr>
      <w:r>
        <w:rPr>
          <w:rFonts w:hint="eastAsia" w:ascii="楷体" w:hAnsi="楷体" w:eastAsia="楷体" w:cs="楷体"/>
          <w:spacing w:val="8"/>
          <w:position w:val="22"/>
          <w:sz w:val="35"/>
          <w:szCs w:val="35"/>
        </w:rPr>
        <w:t>宁东能源化工基地管理委员会</w:t>
      </w:r>
      <w:r>
        <w:rPr>
          <w:rFonts w:ascii="楷体" w:hAnsi="楷体" w:eastAsia="楷体" w:cs="楷体"/>
          <w:spacing w:val="8"/>
          <w:position w:val="22"/>
          <w:sz w:val="35"/>
          <w:szCs w:val="35"/>
        </w:rPr>
        <w:t>事故调查组</w:t>
      </w:r>
    </w:p>
    <w:p w14:paraId="3F718987">
      <w:pPr>
        <w:ind w:firstLine="696"/>
        <w:jc w:val="center"/>
      </w:pPr>
      <w:r>
        <w:rPr>
          <w:rFonts w:eastAsia="Times New Roman" w:cs="Times New Roman"/>
          <w:spacing w:val="-1"/>
          <w:sz w:val="35"/>
          <w:szCs w:val="35"/>
        </w:rPr>
        <w:t>2023</w:t>
      </w:r>
      <w:r>
        <w:rPr>
          <w:rFonts w:ascii="楷体" w:hAnsi="楷体" w:eastAsia="楷体" w:cs="楷体"/>
          <w:spacing w:val="-1"/>
          <w:sz w:val="35"/>
          <w:szCs w:val="35"/>
        </w:rPr>
        <w:t>年</w:t>
      </w:r>
      <w:r>
        <w:rPr>
          <w:rFonts w:ascii="楷体" w:hAnsi="楷体" w:eastAsia="楷体" w:cs="楷体"/>
          <w:spacing w:val="-71"/>
          <w:sz w:val="35"/>
          <w:szCs w:val="35"/>
        </w:rPr>
        <w:t xml:space="preserve"> </w:t>
      </w:r>
      <w:r>
        <w:rPr>
          <w:rFonts w:hint="eastAsia" w:eastAsia="宋体" w:cs="Times New Roman"/>
          <w:spacing w:val="-1"/>
          <w:sz w:val="35"/>
          <w:szCs w:val="35"/>
        </w:rPr>
        <w:t>11</w:t>
      </w:r>
      <w:r>
        <w:rPr>
          <w:rFonts w:ascii="楷体" w:hAnsi="楷体" w:eastAsia="楷体" w:cs="楷体"/>
          <w:spacing w:val="-1"/>
          <w:sz w:val="35"/>
          <w:szCs w:val="35"/>
        </w:rPr>
        <w:t>月</w:t>
      </w:r>
    </w:p>
    <w:p w14:paraId="49CBCD2D">
      <w:pPr>
        <w:ind w:firstLine="640"/>
        <w:sectPr>
          <w:headerReference r:id="rId7" w:type="first"/>
          <w:footerReference r:id="rId10" w:type="first"/>
          <w:headerReference r:id="rId5" w:type="default"/>
          <w:footerReference r:id="rId8" w:type="default"/>
          <w:headerReference r:id="rId6" w:type="even"/>
          <w:footerReference r:id="rId9" w:type="even"/>
          <w:pgSz w:w="11906" w:h="16838"/>
          <w:pgMar w:top="2098" w:right="1474" w:bottom="1588" w:left="1985" w:header="851" w:footer="992" w:gutter="0"/>
          <w:cols w:space="425" w:num="1"/>
          <w:docGrid w:type="linesAndChars" w:linePitch="312" w:charSpace="0"/>
        </w:sectPr>
      </w:pPr>
    </w:p>
    <w:p w14:paraId="02EF624C">
      <w:pPr>
        <w:spacing w:line="360" w:lineRule="auto"/>
        <w:ind w:firstLine="0" w:firstLineChars="0"/>
        <w:jc w:val="center"/>
        <w:rPr>
          <w:rFonts w:ascii="宋体" w:hAnsi="宋体" w:eastAsia="宋体"/>
          <w:b/>
        </w:rPr>
      </w:pPr>
      <w:r>
        <w:rPr>
          <w:rFonts w:hint="eastAsia" w:ascii="宋体" w:hAnsi="宋体" w:eastAsia="宋体"/>
          <w:b/>
        </w:rPr>
        <w:t>目　录</w:t>
      </w:r>
    </w:p>
    <w:p w14:paraId="6B3082E5">
      <w:pPr>
        <w:pStyle w:val="14"/>
        <w:rPr>
          <w:rFonts w:asciiTheme="minorHAnsi" w:hAnsiTheme="minorHAnsi" w:eastAsiaTheme="minorEastAsia"/>
          <w:sz w:val="21"/>
        </w:rPr>
      </w:pPr>
      <w:r>
        <w:fldChar w:fldCharType="begin"/>
      </w:r>
      <w:r>
        <w:instrText xml:space="preserve"> TOC \o "1-3" \h \z \u </w:instrText>
      </w:r>
      <w:r>
        <w:fldChar w:fldCharType="separate"/>
      </w:r>
      <w:r>
        <w:fldChar w:fldCharType="begin"/>
      </w:r>
      <w:r>
        <w:instrText xml:space="preserve"> HYPERLINK \l "_Toc149745598" </w:instrText>
      </w:r>
      <w:r>
        <w:fldChar w:fldCharType="separate"/>
      </w:r>
      <w:r>
        <w:rPr>
          <w:rStyle w:val="20"/>
          <w:rFonts w:hint="eastAsia"/>
        </w:rPr>
        <w:t>一、事故基本情况</w:t>
      </w:r>
      <w:r>
        <w:tab/>
      </w:r>
      <w:r>
        <w:fldChar w:fldCharType="begin"/>
      </w:r>
      <w:r>
        <w:instrText xml:space="preserve"> PAGEREF _Toc149745598 \h </w:instrText>
      </w:r>
      <w:r>
        <w:fldChar w:fldCharType="separate"/>
      </w:r>
      <w:r>
        <w:t>3</w:t>
      </w:r>
      <w:r>
        <w:fldChar w:fldCharType="end"/>
      </w:r>
      <w:r>
        <w:fldChar w:fldCharType="end"/>
      </w:r>
    </w:p>
    <w:p w14:paraId="5AD768FC">
      <w:pPr>
        <w:pStyle w:val="7"/>
        <w:tabs>
          <w:tab w:val="right" w:leader="dot" w:pos="8437"/>
        </w:tabs>
        <w:ind w:firstLine="480"/>
        <w:rPr>
          <w:rFonts w:asciiTheme="minorHAnsi" w:hAnsiTheme="minorHAnsi" w:eastAsiaTheme="minorEastAsia"/>
          <w:sz w:val="21"/>
        </w:rPr>
      </w:pPr>
      <w:r>
        <w:fldChar w:fldCharType="begin"/>
      </w:r>
      <w:r>
        <w:instrText xml:space="preserve"> HYPERLINK \l "_Toc149745599" </w:instrText>
      </w:r>
      <w:r>
        <w:fldChar w:fldCharType="separate"/>
      </w:r>
      <w:r>
        <w:rPr>
          <w:rStyle w:val="20"/>
          <w:rFonts w:hint="eastAsia"/>
        </w:rPr>
        <w:t>（一）事故发生单位概况</w:t>
      </w:r>
      <w:r>
        <w:tab/>
      </w:r>
      <w:r>
        <w:fldChar w:fldCharType="begin"/>
      </w:r>
      <w:r>
        <w:instrText xml:space="preserve"> PAGEREF _Toc149745599 \h </w:instrText>
      </w:r>
      <w:r>
        <w:fldChar w:fldCharType="separate"/>
      </w:r>
      <w:r>
        <w:t>3</w:t>
      </w:r>
      <w:r>
        <w:fldChar w:fldCharType="end"/>
      </w:r>
      <w:r>
        <w:fldChar w:fldCharType="end"/>
      </w:r>
    </w:p>
    <w:p w14:paraId="4099EBEB">
      <w:pPr>
        <w:pStyle w:val="7"/>
        <w:tabs>
          <w:tab w:val="right" w:leader="dot" w:pos="8437"/>
        </w:tabs>
        <w:ind w:firstLine="480"/>
        <w:rPr>
          <w:rFonts w:asciiTheme="minorHAnsi" w:hAnsiTheme="minorHAnsi" w:eastAsiaTheme="minorEastAsia"/>
          <w:sz w:val="21"/>
        </w:rPr>
      </w:pPr>
      <w:r>
        <w:fldChar w:fldCharType="begin"/>
      </w:r>
      <w:r>
        <w:instrText xml:space="preserve"> HYPERLINK \l "_Toc149745600" </w:instrText>
      </w:r>
      <w:r>
        <w:fldChar w:fldCharType="separate"/>
      </w:r>
      <w:r>
        <w:rPr>
          <w:rStyle w:val="20"/>
          <w:rFonts w:hint="eastAsia"/>
        </w:rPr>
        <w:t>（二）事故发生单位安全管理情况</w:t>
      </w:r>
      <w:r>
        <w:tab/>
      </w:r>
      <w:r>
        <w:fldChar w:fldCharType="begin"/>
      </w:r>
      <w:r>
        <w:instrText xml:space="preserve"> PAGEREF _Toc149745600 \h </w:instrText>
      </w:r>
      <w:r>
        <w:fldChar w:fldCharType="separate"/>
      </w:r>
      <w:r>
        <w:t>3</w:t>
      </w:r>
      <w:r>
        <w:fldChar w:fldCharType="end"/>
      </w:r>
      <w:r>
        <w:fldChar w:fldCharType="end"/>
      </w:r>
    </w:p>
    <w:p w14:paraId="2458C489">
      <w:pPr>
        <w:pStyle w:val="7"/>
        <w:tabs>
          <w:tab w:val="right" w:leader="dot" w:pos="8437"/>
        </w:tabs>
        <w:ind w:firstLine="480"/>
        <w:rPr>
          <w:rFonts w:asciiTheme="minorHAnsi" w:hAnsiTheme="minorHAnsi" w:eastAsiaTheme="minorEastAsia"/>
          <w:sz w:val="21"/>
        </w:rPr>
      </w:pPr>
      <w:r>
        <w:fldChar w:fldCharType="begin"/>
      </w:r>
      <w:r>
        <w:instrText xml:space="preserve"> HYPERLINK \l "_Toc149745601" </w:instrText>
      </w:r>
      <w:r>
        <w:fldChar w:fldCharType="separate"/>
      </w:r>
      <w:r>
        <w:rPr>
          <w:rStyle w:val="20"/>
          <w:rFonts w:hint="eastAsia"/>
        </w:rPr>
        <w:t>（三）事故发生经过</w:t>
      </w:r>
      <w:r>
        <w:tab/>
      </w:r>
      <w:r>
        <w:fldChar w:fldCharType="begin"/>
      </w:r>
      <w:r>
        <w:instrText xml:space="preserve"> PAGEREF _Toc149745601 \h </w:instrText>
      </w:r>
      <w:r>
        <w:fldChar w:fldCharType="separate"/>
      </w:r>
      <w:r>
        <w:t>3</w:t>
      </w:r>
      <w:r>
        <w:fldChar w:fldCharType="end"/>
      </w:r>
      <w:r>
        <w:fldChar w:fldCharType="end"/>
      </w:r>
    </w:p>
    <w:p w14:paraId="7DE8BA04">
      <w:pPr>
        <w:pStyle w:val="7"/>
        <w:tabs>
          <w:tab w:val="right" w:leader="dot" w:pos="8437"/>
        </w:tabs>
        <w:ind w:firstLine="480"/>
        <w:rPr>
          <w:rFonts w:asciiTheme="minorHAnsi" w:hAnsiTheme="minorHAnsi" w:eastAsiaTheme="minorEastAsia"/>
          <w:sz w:val="21"/>
        </w:rPr>
      </w:pPr>
      <w:r>
        <w:fldChar w:fldCharType="begin"/>
      </w:r>
      <w:r>
        <w:instrText xml:space="preserve"> HYPERLINK \l "_Toc149745602" </w:instrText>
      </w:r>
      <w:r>
        <w:fldChar w:fldCharType="separate"/>
      </w:r>
      <w:r>
        <w:rPr>
          <w:rStyle w:val="20"/>
          <w:rFonts w:hint="eastAsia"/>
        </w:rPr>
        <w:t>（四）事故现场情况</w:t>
      </w:r>
      <w:r>
        <w:tab/>
      </w:r>
      <w:r>
        <w:fldChar w:fldCharType="begin"/>
      </w:r>
      <w:r>
        <w:instrText xml:space="preserve"> PAGEREF _Toc149745602 \h </w:instrText>
      </w:r>
      <w:r>
        <w:fldChar w:fldCharType="separate"/>
      </w:r>
      <w:r>
        <w:t>6</w:t>
      </w:r>
      <w:r>
        <w:fldChar w:fldCharType="end"/>
      </w:r>
      <w:r>
        <w:fldChar w:fldCharType="end"/>
      </w:r>
    </w:p>
    <w:p w14:paraId="011810F4">
      <w:pPr>
        <w:pStyle w:val="7"/>
        <w:tabs>
          <w:tab w:val="right" w:leader="dot" w:pos="8437"/>
        </w:tabs>
        <w:ind w:firstLine="480"/>
        <w:rPr>
          <w:rFonts w:asciiTheme="minorHAnsi" w:hAnsiTheme="minorHAnsi" w:eastAsiaTheme="minorEastAsia"/>
          <w:sz w:val="21"/>
        </w:rPr>
      </w:pPr>
      <w:r>
        <w:fldChar w:fldCharType="begin"/>
      </w:r>
      <w:r>
        <w:instrText xml:space="preserve"> HYPERLINK \l "_Toc149745603" </w:instrText>
      </w:r>
      <w:r>
        <w:fldChar w:fldCharType="separate"/>
      </w:r>
      <w:r>
        <w:rPr>
          <w:rStyle w:val="20"/>
          <w:rFonts w:hint="eastAsia"/>
        </w:rPr>
        <w:t>（五）人员伤亡和直接经济损失</w:t>
      </w:r>
      <w:r>
        <w:tab/>
      </w:r>
      <w:r>
        <w:fldChar w:fldCharType="begin"/>
      </w:r>
      <w:r>
        <w:instrText xml:space="preserve"> PAGEREF _Toc149745603 \h </w:instrText>
      </w:r>
      <w:r>
        <w:fldChar w:fldCharType="separate"/>
      </w:r>
      <w:r>
        <w:t>9</w:t>
      </w:r>
      <w:r>
        <w:fldChar w:fldCharType="end"/>
      </w:r>
      <w:r>
        <w:fldChar w:fldCharType="end"/>
      </w:r>
    </w:p>
    <w:p w14:paraId="647E7C87">
      <w:pPr>
        <w:pStyle w:val="14"/>
        <w:rPr>
          <w:rFonts w:asciiTheme="minorHAnsi" w:hAnsiTheme="minorHAnsi" w:eastAsiaTheme="minorEastAsia"/>
          <w:sz w:val="21"/>
        </w:rPr>
      </w:pPr>
      <w:r>
        <w:fldChar w:fldCharType="begin"/>
      </w:r>
      <w:r>
        <w:instrText xml:space="preserve"> HYPERLINK \l "_Toc149745604" </w:instrText>
      </w:r>
      <w:r>
        <w:fldChar w:fldCharType="separate"/>
      </w:r>
      <w:r>
        <w:rPr>
          <w:rStyle w:val="20"/>
          <w:rFonts w:hint="eastAsia"/>
        </w:rPr>
        <w:t>二、事故应急处置及评估情况</w:t>
      </w:r>
      <w:r>
        <w:tab/>
      </w:r>
      <w:r>
        <w:fldChar w:fldCharType="begin"/>
      </w:r>
      <w:r>
        <w:instrText xml:space="preserve"> PAGEREF _Toc149745604 \h </w:instrText>
      </w:r>
      <w:r>
        <w:fldChar w:fldCharType="separate"/>
      </w:r>
      <w:r>
        <w:t>9</w:t>
      </w:r>
      <w:r>
        <w:fldChar w:fldCharType="end"/>
      </w:r>
      <w:r>
        <w:fldChar w:fldCharType="end"/>
      </w:r>
    </w:p>
    <w:p w14:paraId="73C7ED9F">
      <w:pPr>
        <w:pStyle w:val="7"/>
        <w:tabs>
          <w:tab w:val="right" w:leader="dot" w:pos="8437"/>
        </w:tabs>
        <w:ind w:firstLine="480"/>
        <w:rPr>
          <w:rFonts w:asciiTheme="minorHAnsi" w:hAnsiTheme="minorHAnsi" w:eastAsiaTheme="minorEastAsia"/>
          <w:sz w:val="21"/>
        </w:rPr>
      </w:pPr>
      <w:r>
        <w:fldChar w:fldCharType="begin"/>
      </w:r>
      <w:r>
        <w:instrText xml:space="preserve"> HYPERLINK \l "_Toc149745605" </w:instrText>
      </w:r>
      <w:r>
        <w:fldChar w:fldCharType="separate"/>
      </w:r>
      <w:r>
        <w:rPr>
          <w:rStyle w:val="20"/>
          <w:rFonts w:hint="eastAsia"/>
        </w:rPr>
        <w:t>（</w:t>
      </w:r>
      <w:r>
        <w:rPr>
          <w:rStyle w:val="20"/>
          <w:spacing w:val="-74"/>
        </w:rPr>
        <w:t xml:space="preserve"> </w:t>
      </w:r>
      <w:r>
        <w:rPr>
          <w:rStyle w:val="20"/>
          <w:rFonts w:hint="eastAsia"/>
        </w:rPr>
        <w:t>一）事故信息接报及响应情况</w:t>
      </w:r>
      <w:r>
        <w:tab/>
      </w:r>
      <w:r>
        <w:fldChar w:fldCharType="begin"/>
      </w:r>
      <w:r>
        <w:instrText xml:space="preserve"> PAGEREF _Toc149745605 \h </w:instrText>
      </w:r>
      <w:r>
        <w:fldChar w:fldCharType="separate"/>
      </w:r>
      <w:r>
        <w:t>9</w:t>
      </w:r>
      <w:r>
        <w:fldChar w:fldCharType="end"/>
      </w:r>
      <w:r>
        <w:fldChar w:fldCharType="end"/>
      </w:r>
    </w:p>
    <w:p w14:paraId="17DCE878">
      <w:pPr>
        <w:pStyle w:val="7"/>
        <w:tabs>
          <w:tab w:val="right" w:leader="dot" w:pos="8437"/>
        </w:tabs>
        <w:ind w:firstLine="480"/>
        <w:rPr>
          <w:rFonts w:asciiTheme="minorHAnsi" w:hAnsiTheme="minorHAnsi" w:eastAsiaTheme="minorEastAsia"/>
          <w:sz w:val="21"/>
        </w:rPr>
      </w:pPr>
      <w:r>
        <w:fldChar w:fldCharType="begin"/>
      </w:r>
      <w:r>
        <w:instrText xml:space="preserve"> HYPERLINK \l "_Toc149745606" </w:instrText>
      </w:r>
      <w:r>
        <w:fldChar w:fldCharType="separate"/>
      </w:r>
      <w:r>
        <w:rPr>
          <w:rStyle w:val="20"/>
          <w:rFonts w:hint="eastAsia"/>
        </w:rPr>
        <w:t>（二）事故现场应急处置情况</w:t>
      </w:r>
      <w:r>
        <w:tab/>
      </w:r>
      <w:r>
        <w:fldChar w:fldCharType="begin"/>
      </w:r>
      <w:r>
        <w:instrText xml:space="preserve"> PAGEREF _Toc149745606 \h </w:instrText>
      </w:r>
      <w:r>
        <w:fldChar w:fldCharType="separate"/>
      </w:r>
      <w:r>
        <w:t>9</w:t>
      </w:r>
      <w:r>
        <w:fldChar w:fldCharType="end"/>
      </w:r>
      <w:r>
        <w:fldChar w:fldCharType="end"/>
      </w:r>
    </w:p>
    <w:p w14:paraId="60B2400F">
      <w:pPr>
        <w:pStyle w:val="7"/>
        <w:tabs>
          <w:tab w:val="right" w:leader="dot" w:pos="8437"/>
        </w:tabs>
        <w:ind w:firstLine="480"/>
        <w:rPr>
          <w:rFonts w:asciiTheme="minorHAnsi" w:hAnsiTheme="minorHAnsi" w:eastAsiaTheme="minorEastAsia"/>
          <w:sz w:val="21"/>
        </w:rPr>
      </w:pPr>
      <w:r>
        <w:fldChar w:fldCharType="begin"/>
      </w:r>
      <w:r>
        <w:instrText xml:space="preserve"> HYPERLINK \l "_Toc149745607" </w:instrText>
      </w:r>
      <w:r>
        <w:fldChar w:fldCharType="separate"/>
      </w:r>
      <w:r>
        <w:rPr>
          <w:rStyle w:val="20"/>
          <w:rFonts w:hint="eastAsia"/>
        </w:rPr>
        <w:t>（三）医疗救治和善后情况</w:t>
      </w:r>
      <w:r>
        <w:tab/>
      </w:r>
      <w:r>
        <w:fldChar w:fldCharType="begin"/>
      </w:r>
      <w:r>
        <w:instrText xml:space="preserve"> PAGEREF _Toc149745607 \h </w:instrText>
      </w:r>
      <w:r>
        <w:fldChar w:fldCharType="separate"/>
      </w:r>
      <w:r>
        <w:t>9</w:t>
      </w:r>
      <w:r>
        <w:fldChar w:fldCharType="end"/>
      </w:r>
      <w:r>
        <w:fldChar w:fldCharType="end"/>
      </w:r>
    </w:p>
    <w:p w14:paraId="7834B743">
      <w:pPr>
        <w:pStyle w:val="7"/>
        <w:tabs>
          <w:tab w:val="right" w:leader="dot" w:pos="8437"/>
        </w:tabs>
        <w:ind w:firstLine="480"/>
        <w:rPr>
          <w:rFonts w:asciiTheme="minorHAnsi" w:hAnsiTheme="minorHAnsi" w:eastAsiaTheme="minorEastAsia"/>
          <w:sz w:val="21"/>
        </w:rPr>
      </w:pPr>
      <w:r>
        <w:fldChar w:fldCharType="begin"/>
      </w:r>
      <w:r>
        <w:instrText xml:space="preserve"> HYPERLINK \l "_Toc149745608" </w:instrText>
      </w:r>
      <w:r>
        <w:fldChar w:fldCharType="separate"/>
      </w:r>
      <w:r>
        <w:rPr>
          <w:rStyle w:val="20"/>
          <w:rFonts w:hint="eastAsia"/>
        </w:rPr>
        <w:t>（四）事故应急处置评估</w:t>
      </w:r>
      <w:r>
        <w:tab/>
      </w:r>
      <w:r>
        <w:fldChar w:fldCharType="begin"/>
      </w:r>
      <w:r>
        <w:instrText xml:space="preserve"> PAGEREF _Toc149745608 \h </w:instrText>
      </w:r>
      <w:r>
        <w:fldChar w:fldCharType="separate"/>
      </w:r>
      <w:r>
        <w:t>10</w:t>
      </w:r>
      <w:r>
        <w:fldChar w:fldCharType="end"/>
      </w:r>
      <w:r>
        <w:fldChar w:fldCharType="end"/>
      </w:r>
    </w:p>
    <w:p w14:paraId="139CF592">
      <w:pPr>
        <w:pStyle w:val="14"/>
        <w:rPr>
          <w:rFonts w:asciiTheme="minorHAnsi" w:hAnsiTheme="minorHAnsi" w:eastAsiaTheme="minorEastAsia"/>
          <w:sz w:val="21"/>
        </w:rPr>
      </w:pPr>
      <w:r>
        <w:fldChar w:fldCharType="begin"/>
      </w:r>
      <w:r>
        <w:instrText xml:space="preserve"> HYPERLINK \l "_Toc149745609" </w:instrText>
      </w:r>
      <w:r>
        <w:fldChar w:fldCharType="separate"/>
      </w:r>
      <w:r>
        <w:rPr>
          <w:rStyle w:val="20"/>
          <w:rFonts w:hint="eastAsia"/>
        </w:rPr>
        <w:t>三、事故原因</w:t>
      </w:r>
      <w:r>
        <w:tab/>
      </w:r>
      <w:r>
        <w:fldChar w:fldCharType="begin"/>
      </w:r>
      <w:r>
        <w:instrText xml:space="preserve"> PAGEREF _Toc149745609 \h </w:instrText>
      </w:r>
      <w:r>
        <w:fldChar w:fldCharType="separate"/>
      </w:r>
      <w:r>
        <w:t>10</w:t>
      </w:r>
      <w:r>
        <w:fldChar w:fldCharType="end"/>
      </w:r>
      <w:r>
        <w:fldChar w:fldCharType="end"/>
      </w:r>
    </w:p>
    <w:p w14:paraId="0513D8BB">
      <w:pPr>
        <w:pStyle w:val="7"/>
        <w:tabs>
          <w:tab w:val="right" w:leader="dot" w:pos="8437"/>
        </w:tabs>
        <w:ind w:firstLine="480"/>
        <w:rPr>
          <w:rFonts w:asciiTheme="minorHAnsi" w:hAnsiTheme="minorHAnsi" w:eastAsiaTheme="minorEastAsia"/>
          <w:sz w:val="21"/>
        </w:rPr>
      </w:pPr>
      <w:r>
        <w:fldChar w:fldCharType="begin"/>
      </w:r>
      <w:r>
        <w:instrText xml:space="preserve"> HYPERLINK \l "_Toc149745610" </w:instrText>
      </w:r>
      <w:r>
        <w:fldChar w:fldCharType="separate"/>
      </w:r>
      <w:r>
        <w:rPr>
          <w:rStyle w:val="20"/>
          <w:rFonts w:hint="eastAsia"/>
        </w:rPr>
        <w:t>（一）直接原因</w:t>
      </w:r>
      <w:r>
        <w:tab/>
      </w:r>
      <w:r>
        <w:fldChar w:fldCharType="begin"/>
      </w:r>
      <w:r>
        <w:instrText xml:space="preserve"> PAGEREF _Toc149745610 \h </w:instrText>
      </w:r>
      <w:r>
        <w:fldChar w:fldCharType="separate"/>
      </w:r>
      <w:r>
        <w:t>10</w:t>
      </w:r>
      <w:r>
        <w:fldChar w:fldCharType="end"/>
      </w:r>
      <w:r>
        <w:fldChar w:fldCharType="end"/>
      </w:r>
    </w:p>
    <w:p w14:paraId="2D99FC04">
      <w:pPr>
        <w:pStyle w:val="7"/>
        <w:tabs>
          <w:tab w:val="right" w:leader="dot" w:pos="8437"/>
        </w:tabs>
        <w:ind w:firstLine="480"/>
        <w:rPr>
          <w:rFonts w:asciiTheme="minorHAnsi" w:hAnsiTheme="minorHAnsi" w:eastAsiaTheme="minorEastAsia"/>
          <w:sz w:val="21"/>
        </w:rPr>
      </w:pPr>
      <w:r>
        <w:fldChar w:fldCharType="begin"/>
      </w:r>
      <w:r>
        <w:instrText xml:space="preserve"> HYPERLINK \l "_Toc149745611" </w:instrText>
      </w:r>
      <w:r>
        <w:fldChar w:fldCharType="separate"/>
      </w:r>
      <w:r>
        <w:rPr>
          <w:rStyle w:val="20"/>
          <w:rFonts w:hint="eastAsia"/>
        </w:rPr>
        <w:t>（二）间接原因</w:t>
      </w:r>
      <w:r>
        <w:tab/>
      </w:r>
      <w:r>
        <w:fldChar w:fldCharType="begin"/>
      </w:r>
      <w:r>
        <w:instrText xml:space="preserve"> PAGEREF _Toc149745611 \h </w:instrText>
      </w:r>
      <w:r>
        <w:fldChar w:fldCharType="separate"/>
      </w:r>
      <w:r>
        <w:t>11</w:t>
      </w:r>
      <w:r>
        <w:fldChar w:fldCharType="end"/>
      </w:r>
      <w:r>
        <w:fldChar w:fldCharType="end"/>
      </w:r>
    </w:p>
    <w:p w14:paraId="21D2061E">
      <w:pPr>
        <w:pStyle w:val="14"/>
        <w:rPr>
          <w:rFonts w:asciiTheme="minorHAnsi" w:hAnsiTheme="minorHAnsi" w:eastAsiaTheme="minorEastAsia"/>
          <w:sz w:val="21"/>
        </w:rPr>
      </w:pPr>
      <w:r>
        <w:fldChar w:fldCharType="begin"/>
      </w:r>
      <w:r>
        <w:instrText xml:space="preserve"> HYPERLINK \l "_Toc149745612" </w:instrText>
      </w:r>
      <w:r>
        <w:fldChar w:fldCharType="separate"/>
      </w:r>
      <w:r>
        <w:rPr>
          <w:rStyle w:val="20"/>
          <w:rFonts w:hint="eastAsia"/>
        </w:rPr>
        <w:t>四、对有关责任人员及责任单位的处理建议</w:t>
      </w:r>
      <w:r>
        <w:tab/>
      </w:r>
      <w:r>
        <w:fldChar w:fldCharType="begin"/>
      </w:r>
      <w:r>
        <w:instrText xml:space="preserve"> PAGEREF _Toc149745612 \h </w:instrText>
      </w:r>
      <w:r>
        <w:fldChar w:fldCharType="separate"/>
      </w:r>
      <w:r>
        <w:t>12</w:t>
      </w:r>
      <w:r>
        <w:fldChar w:fldCharType="end"/>
      </w:r>
      <w:r>
        <w:fldChar w:fldCharType="end"/>
      </w:r>
    </w:p>
    <w:p w14:paraId="790699BB">
      <w:pPr>
        <w:pStyle w:val="7"/>
        <w:tabs>
          <w:tab w:val="right" w:leader="dot" w:pos="8437"/>
        </w:tabs>
        <w:ind w:firstLine="480"/>
        <w:rPr>
          <w:rFonts w:asciiTheme="minorHAnsi" w:hAnsiTheme="minorHAnsi" w:eastAsiaTheme="minorEastAsia"/>
          <w:sz w:val="21"/>
        </w:rPr>
      </w:pPr>
      <w:r>
        <w:fldChar w:fldCharType="begin"/>
      </w:r>
      <w:r>
        <w:instrText xml:space="preserve"> HYPERLINK \l "_Toc149745613" </w:instrText>
      </w:r>
      <w:r>
        <w:fldChar w:fldCharType="separate"/>
      </w:r>
      <w:r>
        <w:rPr>
          <w:rStyle w:val="20"/>
          <w:rFonts w:hint="eastAsia"/>
        </w:rPr>
        <w:t>（一）对有关责任人员的处理建议</w:t>
      </w:r>
      <w:r>
        <w:tab/>
      </w:r>
      <w:r>
        <w:fldChar w:fldCharType="begin"/>
      </w:r>
      <w:r>
        <w:instrText xml:space="preserve"> PAGEREF _Toc149745613 \h </w:instrText>
      </w:r>
      <w:r>
        <w:fldChar w:fldCharType="separate"/>
      </w:r>
      <w:r>
        <w:t>12</w:t>
      </w:r>
      <w:r>
        <w:fldChar w:fldCharType="end"/>
      </w:r>
      <w:r>
        <w:fldChar w:fldCharType="end"/>
      </w:r>
    </w:p>
    <w:p w14:paraId="1F15822F">
      <w:pPr>
        <w:pStyle w:val="7"/>
        <w:tabs>
          <w:tab w:val="right" w:leader="dot" w:pos="8437"/>
        </w:tabs>
        <w:ind w:firstLine="480"/>
        <w:rPr>
          <w:rFonts w:asciiTheme="minorHAnsi" w:hAnsiTheme="minorHAnsi" w:eastAsiaTheme="minorEastAsia"/>
          <w:sz w:val="21"/>
        </w:rPr>
      </w:pPr>
      <w:r>
        <w:fldChar w:fldCharType="begin"/>
      </w:r>
      <w:r>
        <w:instrText xml:space="preserve"> HYPERLINK \l "_Toc149745614" </w:instrText>
      </w:r>
      <w:r>
        <w:fldChar w:fldCharType="separate"/>
      </w:r>
      <w:r>
        <w:rPr>
          <w:rStyle w:val="20"/>
          <w:rFonts w:hint="eastAsia"/>
          <w:lang w:bidi="ar"/>
        </w:rPr>
        <w:t>（二）</w:t>
      </w:r>
      <w:r>
        <w:rPr>
          <w:rStyle w:val="20"/>
          <w:rFonts w:hint="eastAsia"/>
        </w:rPr>
        <w:t>对有关责任单位的行政处罚建议</w:t>
      </w:r>
      <w:r>
        <w:tab/>
      </w:r>
      <w:r>
        <w:fldChar w:fldCharType="begin"/>
      </w:r>
      <w:r>
        <w:instrText xml:space="preserve"> PAGEREF _Toc149745614 \h </w:instrText>
      </w:r>
      <w:r>
        <w:fldChar w:fldCharType="separate"/>
      </w:r>
      <w:r>
        <w:t>15</w:t>
      </w:r>
      <w:r>
        <w:fldChar w:fldCharType="end"/>
      </w:r>
      <w:r>
        <w:fldChar w:fldCharType="end"/>
      </w:r>
    </w:p>
    <w:p w14:paraId="0B5BED05">
      <w:pPr>
        <w:pStyle w:val="14"/>
        <w:rPr>
          <w:rFonts w:asciiTheme="minorHAnsi" w:hAnsiTheme="minorHAnsi" w:eastAsiaTheme="minorEastAsia"/>
          <w:sz w:val="21"/>
        </w:rPr>
      </w:pPr>
      <w:r>
        <w:fldChar w:fldCharType="begin"/>
      </w:r>
      <w:r>
        <w:instrText xml:space="preserve"> HYPERLINK \l "_Toc149745615" </w:instrText>
      </w:r>
      <w:r>
        <w:fldChar w:fldCharType="separate"/>
      </w:r>
      <w:r>
        <w:rPr>
          <w:rStyle w:val="20"/>
          <w:rFonts w:hint="eastAsia"/>
        </w:rPr>
        <w:t>五、事故防范和整改措施</w:t>
      </w:r>
      <w:r>
        <w:tab/>
      </w:r>
      <w:r>
        <w:fldChar w:fldCharType="begin"/>
      </w:r>
      <w:r>
        <w:instrText xml:space="preserve"> PAGEREF _Toc149745615 \h </w:instrText>
      </w:r>
      <w:r>
        <w:fldChar w:fldCharType="separate"/>
      </w:r>
      <w:r>
        <w:t>15</w:t>
      </w:r>
      <w:r>
        <w:fldChar w:fldCharType="end"/>
      </w:r>
      <w:r>
        <w:fldChar w:fldCharType="end"/>
      </w:r>
    </w:p>
    <w:p w14:paraId="11CCC741">
      <w:pPr>
        <w:ind w:firstLine="0" w:firstLineChars="0"/>
      </w:pPr>
      <w:r>
        <w:rPr>
          <w:rFonts w:eastAsia="宋体"/>
          <w:sz w:val="24"/>
        </w:rPr>
        <w:fldChar w:fldCharType="end"/>
      </w:r>
    </w:p>
    <w:p w14:paraId="46DACE81">
      <w:pPr>
        <w:ind w:firstLine="640"/>
        <w:sectPr>
          <w:footerReference r:id="rId11" w:type="default"/>
          <w:pgSz w:w="11906" w:h="16838"/>
          <w:pgMar w:top="2098" w:right="1474" w:bottom="1588" w:left="1985" w:header="851" w:footer="992" w:gutter="0"/>
          <w:cols w:space="425" w:num="1"/>
          <w:docGrid w:type="linesAndChars" w:linePitch="312" w:charSpace="0"/>
        </w:sectPr>
      </w:pPr>
    </w:p>
    <w:p w14:paraId="6B2AF9B9">
      <w:pPr>
        <w:ind w:firstLine="640"/>
      </w:pPr>
      <w:r>
        <w:rPr>
          <w:rFonts w:asciiTheme="minorEastAsia" w:hAnsiTheme="minorEastAsia" w:eastAsiaTheme="minorEastAsia"/>
        </w:rPr>
        <w:t>202</w:t>
      </w:r>
      <w:r>
        <w:rPr>
          <w:rFonts w:hint="eastAsia" w:asciiTheme="minorEastAsia" w:hAnsiTheme="minorEastAsia" w:eastAsiaTheme="minorEastAsia"/>
        </w:rPr>
        <w:t>3</w:t>
      </w:r>
      <w:r>
        <w:t>年</w:t>
      </w:r>
      <w:r>
        <w:rPr>
          <w:rFonts w:hint="eastAsia" w:asciiTheme="minorEastAsia" w:hAnsiTheme="minorEastAsia" w:eastAsiaTheme="minorEastAsia"/>
        </w:rPr>
        <w:t>9</w:t>
      </w:r>
      <w:r>
        <w:t>月</w:t>
      </w:r>
      <w:r>
        <w:rPr>
          <w:rFonts w:hint="eastAsia" w:ascii="宋体" w:hAnsi="宋体" w:eastAsia="宋体"/>
        </w:rPr>
        <w:t>29</w:t>
      </w:r>
      <w:r>
        <w:t>日</w:t>
      </w:r>
      <w:r>
        <w:rPr>
          <w:rFonts w:hint="eastAsia" w:ascii="宋体" w:hAnsi="宋体" w:eastAsia="宋体"/>
        </w:rPr>
        <w:t>9</w:t>
      </w:r>
      <w:r>
        <w:t>时</w:t>
      </w:r>
      <w:r>
        <w:rPr>
          <w:rFonts w:hint="eastAsia" w:ascii="宋体" w:hAnsi="宋体" w:eastAsia="宋体"/>
        </w:rPr>
        <w:t>08</w:t>
      </w:r>
      <w:r>
        <w:t>分</w:t>
      </w:r>
      <w:r>
        <w:rPr>
          <w:rFonts w:hint="eastAsia"/>
        </w:rPr>
        <w:t>许，位于宁夏回族自治区宁东能源化工基地煤化工园区的宁夏中泰富瑞科技有限公司</w:t>
      </w:r>
      <w:r>
        <w:rPr>
          <w:rFonts w:hint="eastAsia" w:ascii="宋体" w:hAnsi="宋体" w:eastAsia="宋体"/>
        </w:rPr>
        <w:t>2</w:t>
      </w:r>
      <w:r>
        <w:rPr>
          <w:rFonts w:hint="eastAsia"/>
        </w:rPr>
        <w:t>名维修人员在其厂区外东侧围墙处一污水管道井内封堵污水管道过程中，发生一起</w:t>
      </w:r>
      <w:r>
        <w:rPr>
          <w:rFonts w:hint="eastAsia" w:asciiTheme="minorEastAsia" w:hAnsiTheme="minorEastAsia" w:eastAsiaTheme="minorEastAsia"/>
        </w:rPr>
        <w:t>2</w:t>
      </w:r>
      <w:r>
        <w:t>人</w:t>
      </w:r>
      <w:r>
        <w:rPr>
          <w:rFonts w:hint="eastAsia"/>
        </w:rPr>
        <w:t>中毒窒息</w:t>
      </w:r>
      <w:r>
        <w:t>死亡</w:t>
      </w:r>
      <w:r>
        <w:rPr>
          <w:rFonts w:hint="eastAsia"/>
        </w:rPr>
        <w:t>的生产安全事故，</w:t>
      </w:r>
      <w:r>
        <w:t>直接经济损失</w:t>
      </w:r>
      <w:r>
        <w:rPr>
          <w:rFonts w:hint="eastAsia" w:asciiTheme="minorEastAsia" w:hAnsiTheme="minorEastAsia" w:eastAsiaTheme="minorEastAsia"/>
        </w:rPr>
        <w:t>300</w:t>
      </w:r>
      <w:r>
        <w:t>万元。</w:t>
      </w:r>
    </w:p>
    <w:p w14:paraId="1665A2D7">
      <w:pPr>
        <w:ind w:firstLine="640"/>
      </w:pPr>
      <w:r>
        <w:rPr>
          <w:rFonts w:hint="eastAsia"/>
        </w:rPr>
        <w:t>事故发生后，自治区党委、政府高度重视。自治区党委书记梁言顺同志批示“做好善后工作。最近类似事故时有发生，研究一下深层次原因，该追责的坚决追责，否则难以遏制频发势头”，自治区党委常委，自治区人民政府副主席买彦州同志批示“要深入反思，深入剖析，举一反三，解决安全存在的类似问题”。</w:t>
      </w:r>
    </w:p>
    <w:p w14:paraId="725E456C">
      <w:pPr>
        <w:ind w:firstLine="640"/>
        <w:rPr>
          <w:spacing w:val="7"/>
        </w:rPr>
      </w:pPr>
      <w:r>
        <w:rPr>
          <w:rFonts w:hint="eastAsia"/>
        </w:rPr>
        <w:t>为查明事故原因，吸取教训，追究责任，提出防范措施，根据《中华人民共和国安全生产法》《生产安全事故报告和调查处理条例》（国务院</w:t>
      </w:r>
      <w:r>
        <w:rPr>
          <w:rFonts w:hint="eastAsia" w:asciiTheme="minorEastAsia" w:hAnsiTheme="minorEastAsia" w:eastAsiaTheme="minorEastAsia"/>
        </w:rPr>
        <w:t>493</w:t>
      </w:r>
      <w:r>
        <w:rPr>
          <w:rFonts w:hint="eastAsia"/>
        </w:rPr>
        <w:t>号令）等有关法律法规规定，经宁东基地管委会研究决定，成立了由宁东基地管委会应急管理局副局长任组长，自治区纪委监委派出宁东基地纪检监察工委、管委会应急管理局、管委会生态环境局、</w:t>
      </w:r>
      <w:r>
        <w:rPr>
          <w:rFonts w:hint="eastAsia" w:ascii="仿宋_GB2312" w:hAnsi="仿宋_GB2312" w:cs="仿宋_GB2312"/>
          <w:szCs w:val="32"/>
        </w:rPr>
        <w:t>宁东基地工会工委</w:t>
      </w:r>
      <w:r>
        <w:rPr>
          <w:rFonts w:hint="eastAsia"/>
        </w:rPr>
        <w:t>，银川市公安局</w:t>
      </w:r>
      <w:r>
        <w:rPr>
          <w:rFonts w:hint="eastAsia" w:ascii="仿宋_GB2312" w:hAnsi="仿宋_GB2312" w:cs="仿宋_GB2312"/>
          <w:szCs w:val="32"/>
        </w:rPr>
        <w:t>宁东公安分局</w:t>
      </w:r>
      <w:r>
        <w:rPr>
          <w:rFonts w:hint="eastAsia"/>
        </w:rPr>
        <w:t>及有关专家组成的事故调查组，对该起事故进行调查。事故调查组</w:t>
      </w:r>
      <w:r>
        <w:rPr>
          <w:rFonts w:hint="eastAsia"/>
          <w:spacing w:val="12"/>
        </w:rPr>
        <w:t>认真贯彻落实自治区党</w:t>
      </w:r>
      <w:r>
        <w:rPr>
          <w:rFonts w:hint="eastAsia"/>
        </w:rPr>
        <w:t>委、政府领导同志重要批示精神，坚持“科学严谨、依法依</w:t>
      </w:r>
      <w:r>
        <w:rPr>
          <w:rFonts w:hint="eastAsia"/>
          <w:spacing w:val="6"/>
        </w:rPr>
        <w:t>规、实事求是、注重实效”和“四不放过”原则，通过现场勘查、</w:t>
      </w:r>
      <w:r>
        <w:rPr>
          <w:rFonts w:hint="eastAsia"/>
        </w:rPr>
        <w:t>视频分析、检验鉴定、资料调阅、人员问询、专家论证等方式，查明了事故经过、发生原因、人员伤亡和直接经济损失等情况，</w:t>
      </w:r>
      <w:r>
        <w:rPr>
          <w:rFonts w:hint="eastAsia"/>
          <w:spacing w:val="13"/>
        </w:rPr>
        <w:t>认定了事故性质和事故相关企业及相关人员</w:t>
      </w:r>
      <w:r>
        <w:rPr>
          <w:rFonts w:hint="eastAsia"/>
          <w:spacing w:val="12"/>
        </w:rPr>
        <w:t>的责任，提出了对事故有关责任人员及责任单位的处理建议，并针对事故原因及暴露</w:t>
      </w:r>
      <w:r>
        <w:rPr>
          <w:rFonts w:hint="eastAsia"/>
          <w:spacing w:val="7"/>
        </w:rPr>
        <w:t>出的突出问题，提出了事故防范和整改措施建议。</w:t>
      </w:r>
    </w:p>
    <w:p w14:paraId="2E08E471">
      <w:pPr>
        <w:ind w:firstLine="640"/>
      </w:pPr>
      <w:r>
        <w:rPr>
          <w:rFonts w:hint="eastAsia"/>
        </w:rPr>
        <w:t>经调查组认定：宁夏中泰富瑞科技有限公司“</w:t>
      </w:r>
      <w:r>
        <w:rPr>
          <w:rFonts w:hint="eastAsia" w:asciiTheme="minorEastAsia" w:hAnsiTheme="minorEastAsia" w:eastAsiaTheme="minorEastAsia"/>
        </w:rPr>
        <w:t>9·29”</w:t>
      </w:r>
      <w:r>
        <w:rPr>
          <w:rFonts w:hint="eastAsia"/>
        </w:rPr>
        <w:t>中毒和窒息事故是一起因检维修作业安全管控缺失和违章作业造成的一般生产安全责任事故。</w:t>
      </w:r>
      <w:r>
        <w:br w:type="page"/>
      </w:r>
    </w:p>
    <w:p w14:paraId="49F4D7B4">
      <w:pPr>
        <w:pStyle w:val="3"/>
        <w:ind w:firstLine="640"/>
      </w:pPr>
      <w:bookmarkStart w:id="0" w:name="_Toc148600613"/>
      <w:bookmarkStart w:id="1" w:name="_Toc149745598"/>
      <w:r>
        <w:rPr>
          <w:rFonts w:hint="eastAsia"/>
        </w:rPr>
        <w:t>一、事故基本情况</w:t>
      </w:r>
      <w:bookmarkEnd w:id="0"/>
      <w:bookmarkEnd w:id="1"/>
    </w:p>
    <w:p w14:paraId="3CC23387">
      <w:pPr>
        <w:pStyle w:val="15"/>
        <w:ind w:firstLine="643"/>
      </w:pPr>
      <w:bookmarkStart w:id="2" w:name="_Toc148600614"/>
      <w:bookmarkStart w:id="3" w:name="_Toc149745599"/>
      <w:r>
        <w:rPr>
          <w:rFonts w:hint="eastAsia"/>
        </w:rPr>
        <w:t>（一）事故发生单位概况</w:t>
      </w:r>
      <w:bookmarkEnd w:id="2"/>
      <w:bookmarkEnd w:id="3"/>
    </w:p>
    <w:p w14:paraId="5D158A62">
      <w:pPr>
        <w:ind w:firstLine="640"/>
        <w:rPr>
          <w:rFonts w:ascii="仿宋_GB2312" w:hAnsi="仿宋_GB2312" w:cs="仿宋_GB2312"/>
          <w:spacing w:val="4"/>
          <w:szCs w:val="32"/>
        </w:rPr>
      </w:pPr>
      <w:r>
        <w:rPr>
          <w:rFonts w:hint="eastAsia"/>
        </w:rPr>
        <w:t>宁夏中泰富瑞科技有限公司位于宁夏回族自治区灵武市宁东能源化工基地煤化工园区（宁东泰和新材氨纶项目以东、能化大道以北），</w:t>
      </w:r>
      <w:r>
        <w:rPr>
          <w:rFonts w:hint="eastAsia" w:ascii="仿宋_GB2312" w:hAnsi="仿宋_GB2312" w:cs="仿宋_GB2312"/>
          <w:spacing w:val="4"/>
          <w:szCs w:val="32"/>
        </w:rPr>
        <w:t>是一家以液体硫磺为原料生产硫酸的化工生产企业，</w:t>
      </w:r>
      <w:r>
        <w:rPr>
          <w:rFonts w:hint="eastAsia"/>
        </w:rPr>
        <w:t>成立于</w:t>
      </w:r>
      <w:r>
        <w:rPr>
          <w:rFonts w:hint="eastAsia" w:ascii="宋体" w:hAnsi="宋体" w:eastAsia="宋体"/>
        </w:rPr>
        <w:t>2018</w:t>
      </w:r>
      <w:r>
        <w:rPr>
          <w:rFonts w:hint="eastAsia"/>
        </w:rPr>
        <w:t>年</w:t>
      </w:r>
      <w:r>
        <w:rPr>
          <w:rFonts w:hint="eastAsia" w:ascii="宋体" w:hAnsi="宋体" w:eastAsia="宋体"/>
        </w:rPr>
        <w:t>11</w:t>
      </w:r>
      <w:r>
        <w:rPr>
          <w:rFonts w:hint="eastAsia"/>
        </w:rPr>
        <w:t>月，公司注册资本</w:t>
      </w:r>
      <w:r>
        <w:rPr>
          <w:rFonts w:hint="eastAsia" w:ascii="宋体" w:hAnsi="宋体" w:eastAsia="宋体"/>
        </w:rPr>
        <w:t>1</w:t>
      </w:r>
      <w:r>
        <w:rPr>
          <w:rFonts w:hint="eastAsia"/>
        </w:rPr>
        <w:t>亿元，占地面积</w:t>
      </w:r>
      <w:r>
        <w:rPr>
          <w:rFonts w:hint="eastAsia" w:ascii="宋体" w:hAnsi="宋体" w:eastAsia="宋体"/>
        </w:rPr>
        <w:t>6.7</w:t>
      </w:r>
      <w:r>
        <w:rPr>
          <w:rFonts w:hint="eastAsia"/>
        </w:rPr>
        <w:t>万平方米，</w:t>
      </w:r>
      <w:r>
        <w:rPr>
          <w:rFonts w:hint="eastAsia" w:ascii="仿宋_GB2312" w:hAnsi="仿宋_GB2312" w:cs="仿宋_GB2312"/>
          <w:szCs w:val="32"/>
        </w:rPr>
        <w:t>公司统一</w:t>
      </w:r>
      <w:r>
        <w:rPr>
          <w:rFonts w:hint="eastAsia" w:ascii="仿宋_GB2312" w:hAnsi="仿宋_GB2312" w:cs="仿宋_GB2312"/>
          <w:spacing w:val="4"/>
          <w:szCs w:val="32"/>
        </w:rPr>
        <w:t>社会信用代码</w:t>
      </w:r>
      <w:r>
        <w:rPr>
          <w:rFonts w:ascii="宋体" w:hAnsi="宋体" w:eastAsia="宋体"/>
        </w:rPr>
        <w:t>91641200</w:t>
      </w:r>
      <w:r>
        <w:rPr>
          <w:rFonts w:cs="Times New Roman"/>
          <w:spacing w:val="4"/>
          <w:szCs w:val="32"/>
        </w:rPr>
        <w:t>MA</w:t>
      </w:r>
      <w:r>
        <w:rPr>
          <w:rFonts w:ascii="宋体" w:hAnsi="宋体" w:eastAsia="宋体"/>
        </w:rPr>
        <w:t>770</w:t>
      </w:r>
      <w:r>
        <w:rPr>
          <w:rFonts w:cs="Times New Roman"/>
          <w:spacing w:val="4"/>
          <w:szCs w:val="32"/>
        </w:rPr>
        <w:t>AKQ</w:t>
      </w:r>
      <w:r>
        <w:rPr>
          <w:rFonts w:ascii="宋体" w:hAnsi="宋体" w:eastAsia="宋体"/>
        </w:rPr>
        <w:t>3</w:t>
      </w:r>
      <w:r>
        <w:rPr>
          <w:rFonts w:cs="Times New Roman"/>
          <w:spacing w:val="4"/>
          <w:szCs w:val="32"/>
        </w:rPr>
        <w:t>R</w:t>
      </w:r>
      <w:r>
        <w:rPr>
          <w:rFonts w:hint="eastAsia" w:ascii="仿宋_GB2312" w:hAnsi="仿宋_GB2312" w:cs="仿宋_GB2312"/>
          <w:spacing w:val="4"/>
          <w:szCs w:val="32"/>
        </w:rPr>
        <w:t>，法定代表人李某，公司于2021年4月26日取得《安全生产许可证》，证书编号（宁）</w:t>
      </w:r>
      <w:r>
        <w:rPr>
          <w:rFonts w:hint="eastAsia" w:cs="Times New Roman"/>
          <w:spacing w:val="4"/>
          <w:szCs w:val="32"/>
        </w:rPr>
        <w:t>WH</w:t>
      </w:r>
      <w:r>
        <w:rPr>
          <w:rFonts w:hint="eastAsia" w:ascii="仿宋_GB2312" w:hAnsi="仿宋_GB2312" w:cs="仿宋_GB2312"/>
          <w:spacing w:val="4"/>
          <w:szCs w:val="32"/>
        </w:rPr>
        <w:t>安许证〔2021000141〕号，现有</w:t>
      </w:r>
      <w:r>
        <w:rPr>
          <w:rFonts w:hint="eastAsia" w:ascii="仿宋_GB2312" w:hAnsi="仿宋_GB2312" w:cs="仿宋_GB2312"/>
          <w:szCs w:val="32"/>
        </w:rPr>
        <w:t>员工总数96人</w:t>
      </w:r>
      <w:r>
        <w:rPr>
          <w:rFonts w:hint="eastAsia" w:ascii="仿宋_GB2312" w:hAnsi="仿宋_GB2312" w:cs="仿宋_GB2312"/>
          <w:spacing w:val="4"/>
          <w:szCs w:val="32"/>
        </w:rPr>
        <w:t>。设有生产部、安环部、综合部、业务部、项目部、财务部、技术中心等职能部室。</w:t>
      </w:r>
    </w:p>
    <w:p w14:paraId="7F413164">
      <w:pPr>
        <w:pStyle w:val="15"/>
        <w:ind w:firstLine="643"/>
      </w:pPr>
      <w:bookmarkStart w:id="4" w:name="_Toc148600615"/>
      <w:bookmarkStart w:id="5" w:name="_Toc149745600"/>
      <w:r>
        <w:rPr>
          <w:rFonts w:hint="eastAsia"/>
        </w:rPr>
        <w:t>（二）事故发生单位安全管理情况</w:t>
      </w:r>
      <w:bookmarkEnd w:id="4"/>
      <w:bookmarkEnd w:id="5"/>
    </w:p>
    <w:p w14:paraId="6BE6AA42">
      <w:pPr>
        <w:ind w:firstLine="640"/>
        <w:rPr>
          <w:rFonts w:ascii="仿宋_GB2312" w:hAnsi="仿宋_GB2312" w:cs="仿宋_GB2312"/>
          <w:szCs w:val="32"/>
        </w:rPr>
      </w:pPr>
      <w:r>
        <w:rPr>
          <w:rFonts w:hint="eastAsia"/>
        </w:rPr>
        <w:t>宁夏中泰富瑞科技有限公司成立了安全生产委员会，由总经理（朱某）任主任，</w:t>
      </w:r>
      <w:r>
        <w:rPr>
          <w:rFonts w:hint="eastAsia" w:ascii="仿宋_GB2312" w:hAnsi="仿宋_GB2312" w:cs="仿宋_GB2312"/>
          <w:szCs w:val="32"/>
        </w:rPr>
        <w:t>负有安全职责的副总经理（曹某庆）和</w:t>
      </w:r>
      <w:r>
        <w:rPr>
          <w:rFonts w:hint="eastAsia"/>
        </w:rPr>
        <w:t>安全总监（尹某军）</w:t>
      </w:r>
      <w:r>
        <w:rPr>
          <w:rFonts w:hint="eastAsia" w:ascii="仿宋_GB2312" w:hAnsi="仿宋_GB2312" w:cs="仿宋_GB2312"/>
          <w:szCs w:val="32"/>
        </w:rPr>
        <w:t>任副主任，下设各职能部室负责人为成员。公司</w:t>
      </w:r>
      <w:r>
        <w:rPr>
          <w:rFonts w:hint="eastAsia" w:ascii="仿宋_GB2312" w:hAnsi="仿宋_GB2312" w:cs="仿宋_GB2312"/>
          <w:spacing w:val="4"/>
          <w:szCs w:val="32"/>
        </w:rPr>
        <w:t>安环部配备</w:t>
      </w:r>
      <w:r>
        <w:rPr>
          <w:rFonts w:hint="eastAsia" w:ascii="仿宋_GB2312" w:hAnsi="仿宋_GB2312" w:cs="仿宋_GB2312"/>
          <w:szCs w:val="32"/>
        </w:rPr>
        <w:t>安全管理人员3名。</w:t>
      </w:r>
    </w:p>
    <w:p w14:paraId="41A7E11F">
      <w:pPr>
        <w:pStyle w:val="15"/>
        <w:ind w:firstLine="643"/>
      </w:pPr>
      <w:bookmarkStart w:id="6" w:name="_Toc149745601"/>
      <w:bookmarkStart w:id="7" w:name="_Toc148600616"/>
      <w:r>
        <w:rPr>
          <w:rFonts w:hint="eastAsia"/>
        </w:rPr>
        <w:t>（三）事故发生经过</w:t>
      </w:r>
      <w:bookmarkEnd w:id="6"/>
      <w:bookmarkEnd w:id="7"/>
    </w:p>
    <w:p w14:paraId="27EFAD3C">
      <w:pPr>
        <w:ind w:firstLine="640"/>
      </w:pPr>
      <w:r>
        <w:rPr>
          <w:rFonts w:hint="eastAsia" w:ascii="宋体" w:hAnsi="宋体" w:eastAsia="宋体"/>
        </w:rPr>
        <w:t>2023</w:t>
      </w:r>
      <w:r>
        <w:rPr>
          <w:rFonts w:hint="eastAsia" w:ascii="仿宋" w:hAnsi="仿宋" w:eastAsia="仿宋" w:cs="仿宋"/>
          <w:szCs w:val="32"/>
        </w:rPr>
        <w:t>年</w:t>
      </w:r>
      <w:r>
        <w:rPr>
          <w:rFonts w:hint="eastAsia" w:ascii="宋体" w:hAnsi="宋体" w:eastAsia="宋体"/>
        </w:rPr>
        <w:t>9</w:t>
      </w:r>
      <w:r>
        <w:rPr>
          <w:rFonts w:hint="eastAsia" w:ascii="仿宋" w:hAnsi="仿宋" w:eastAsia="仿宋" w:cs="仿宋"/>
          <w:szCs w:val="32"/>
        </w:rPr>
        <w:t>月</w:t>
      </w:r>
      <w:r>
        <w:rPr>
          <w:rFonts w:hint="eastAsia" w:ascii="宋体" w:hAnsi="宋体" w:eastAsia="宋体"/>
        </w:rPr>
        <w:t>27</w:t>
      </w:r>
      <w:r>
        <w:rPr>
          <w:rFonts w:hint="eastAsia" w:ascii="仿宋" w:hAnsi="仿宋" w:eastAsia="仿宋" w:cs="仿宋"/>
          <w:szCs w:val="32"/>
        </w:rPr>
        <w:t>日，</w:t>
      </w:r>
      <w:r>
        <w:rPr>
          <w:rFonts w:hint="eastAsia"/>
        </w:rPr>
        <w:t>宁夏中泰富瑞科技有限公司安环部环保工作负责人王某将地下市政管网排污口需要封堵的环保治理要求当面向公司总经理朱某作了汇报。按照朱某指示，王某将落实此项工作的要求告知生产部维修班长黄某海，黄某海回复“目前没人”，随后再安排。</w:t>
      </w:r>
    </w:p>
    <w:p w14:paraId="205F3E49">
      <w:pPr>
        <w:ind w:firstLine="640"/>
      </w:pPr>
      <w:r>
        <w:rPr>
          <w:rFonts w:hint="eastAsia" w:ascii="宋体" w:hAnsi="宋体" w:eastAsia="宋体"/>
        </w:rPr>
        <w:t>9</w:t>
      </w:r>
      <w:r>
        <w:rPr>
          <w:rFonts w:hint="eastAsia"/>
        </w:rPr>
        <w:t>月</w:t>
      </w:r>
      <w:r>
        <w:rPr>
          <w:rFonts w:hint="eastAsia" w:ascii="宋体" w:hAnsi="宋体" w:eastAsia="宋体"/>
        </w:rPr>
        <w:t>28</w:t>
      </w:r>
      <w:r>
        <w:rPr>
          <w:rFonts w:hint="eastAsia"/>
        </w:rPr>
        <w:t>日</w:t>
      </w:r>
      <w:r>
        <w:rPr>
          <w:rFonts w:hint="eastAsia" w:ascii="宋体" w:hAnsi="宋体" w:eastAsia="宋体"/>
        </w:rPr>
        <w:t>8</w:t>
      </w:r>
      <w:r>
        <w:rPr>
          <w:rFonts w:hint="eastAsia"/>
        </w:rPr>
        <w:t>时26分许，黄某海在电话询问王某污水管道井具体位置后，带领维修工徐某威（死者之一）到公司东侧围墙外污水总排口所在管道井（事发点），两人未做任何防护措施的情况下，徐某威下井检查了井内情况及封堵管道所需配件，因当天缺少配件（封堵堵头），检查完后未实施作业。</w:t>
      </w:r>
      <w:r>
        <w:rPr>
          <w:rFonts w:hint="eastAsia" w:ascii="宋体" w:hAnsi="宋体" w:eastAsia="宋体"/>
        </w:rPr>
        <w:t>17</w:t>
      </w:r>
      <w:r>
        <w:rPr>
          <w:rFonts w:hint="eastAsia"/>
        </w:rPr>
        <w:t>时许，公司组织开会，会上总经理朱某安排黄某海</w:t>
      </w:r>
      <w:r>
        <w:rPr>
          <w:rFonts w:hint="eastAsia" w:ascii="宋体" w:hAnsi="宋体" w:eastAsia="宋体"/>
        </w:rPr>
        <w:t>29</w:t>
      </w:r>
      <w:r>
        <w:rPr>
          <w:rFonts w:hint="eastAsia"/>
        </w:rPr>
        <w:t>日组织更换装置区酸过滤器风管。</w:t>
      </w:r>
    </w:p>
    <w:p w14:paraId="645ECB5F">
      <w:pPr>
        <w:spacing w:line="240" w:lineRule="auto"/>
        <w:ind w:firstLine="0" w:firstLineChars="0"/>
        <w:jc w:val="center"/>
      </w:pPr>
      <w:r>
        <w:drawing>
          <wp:inline distT="0" distB="0" distL="0" distR="0">
            <wp:extent cx="5358765" cy="2855595"/>
            <wp:effectExtent l="0" t="0" r="0" b="1905"/>
            <wp:docPr id="2" name="图片 2" descr="E:\王进军\危化\2023年\执法检查\事故\中泰富瑞\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王进军\危化\2023年\执法检查\事故\中泰富瑞\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363845" cy="2858218"/>
                    </a:xfrm>
                    <a:prstGeom prst="rect">
                      <a:avLst/>
                    </a:prstGeom>
                    <a:noFill/>
                    <a:ln>
                      <a:noFill/>
                    </a:ln>
                  </pic:spPr>
                </pic:pic>
              </a:graphicData>
            </a:graphic>
          </wp:inline>
        </w:drawing>
      </w:r>
    </w:p>
    <w:p w14:paraId="54868A3E">
      <w:pPr>
        <w:pStyle w:val="26"/>
      </w:pPr>
      <w:r>
        <w:rPr>
          <w:rFonts w:hint="eastAsia"/>
        </w:rPr>
        <w:t>9月28日黄某海和徐某威检查管道井现场视频监控截图</w:t>
      </w:r>
    </w:p>
    <w:p w14:paraId="375CF0AC">
      <w:pPr>
        <w:ind w:firstLine="640"/>
      </w:pPr>
      <w:r>
        <w:rPr>
          <w:rFonts w:hint="eastAsia" w:ascii="宋体" w:hAnsi="宋体" w:eastAsia="宋体"/>
        </w:rPr>
        <w:t>9</w:t>
      </w:r>
      <w:r>
        <w:rPr>
          <w:rFonts w:hint="eastAsia"/>
        </w:rPr>
        <w:t>月</w:t>
      </w:r>
      <w:r>
        <w:rPr>
          <w:rFonts w:hint="eastAsia" w:ascii="宋体" w:hAnsi="宋体" w:eastAsia="宋体"/>
        </w:rPr>
        <w:t>29</w:t>
      </w:r>
      <w:r>
        <w:rPr>
          <w:rFonts w:hint="eastAsia"/>
        </w:rPr>
        <w:t>日</w:t>
      </w:r>
      <w:r>
        <w:rPr>
          <w:rFonts w:hint="eastAsia" w:ascii="宋体" w:hAnsi="宋体" w:eastAsia="宋体"/>
        </w:rPr>
        <w:t>7</w:t>
      </w:r>
      <w:r>
        <w:rPr>
          <w:rFonts w:hint="eastAsia"/>
        </w:rPr>
        <w:t>时</w:t>
      </w:r>
      <w:r>
        <w:rPr>
          <w:rFonts w:hint="eastAsia" w:ascii="宋体" w:hAnsi="宋体" w:eastAsia="宋体"/>
        </w:rPr>
        <w:t>30</w:t>
      </w:r>
      <w:r>
        <w:rPr>
          <w:rFonts w:hint="eastAsia"/>
        </w:rPr>
        <w:t>分许，黄某海按照总经理朱某会上的工作安排，打电话给另一名维修工李某勇通知其跟徐某威一起更换装置区酸过滤器风管（涉及动火作业），但中途因节日期间特殊作业提级管控要求动火作业取消。</w:t>
      </w:r>
    </w:p>
    <w:p w14:paraId="0D5B09BB">
      <w:pPr>
        <w:ind w:firstLine="640"/>
      </w:pPr>
      <w:r>
        <w:rPr>
          <w:rFonts w:hint="eastAsia" w:ascii="宋体" w:hAnsi="宋体" w:eastAsia="宋体"/>
        </w:rPr>
        <w:t>9</w:t>
      </w:r>
      <w:r>
        <w:rPr>
          <w:rFonts w:hint="eastAsia"/>
        </w:rPr>
        <w:t>月</w:t>
      </w:r>
      <w:r>
        <w:rPr>
          <w:rFonts w:hint="eastAsia" w:ascii="宋体" w:hAnsi="宋体" w:eastAsia="宋体"/>
        </w:rPr>
        <w:t>29</w:t>
      </w:r>
      <w:r>
        <w:rPr>
          <w:rFonts w:hint="eastAsia"/>
        </w:rPr>
        <w:t>日</w:t>
      </w:r>
      <w:r>
        <w:rPr>
          <w:rFonts w:hint="eastAsia" w:ascii="宋体" w:hAnsi="宋体" w:eastAsia="宋体"/>
        </w:rPr>
        <w:t>8</w:t>
      </w:r>
      <w:r>
        <w:rPr>
          <w:rFonts w:hint="eastAsia"/>
        </w:rPr>
        <w:t>时</w:t>
      </w:r>
      <w:r>
        <w:rPr>
          <w:rFonts w:hint="eastAsia" w:ascii="宋体" w:hAnsi="宋体" w:eastAsia="宋体"/>
        </w:rPr>
        <w:t>48</w:t>
      </w:r>
      <w:r>
        <w:rPr>
          <w:rFonts w:hint="eastAsia"/>
        </w:rPr>
        <w:t>分，李某勇和徐某威到达公司东侧围墙处，在未取得书面作业许可、未办理任何作业票证、未书面分析辨识安全风险和环境检测的情况下，两人将打磨机接线接入围墙处配电箱，李某勇翻越围墙到达污水管道井处，随后待徐某威到达井口处，在未佩戴任何防护工具的情况下徐某威于</w:t>
      </w:r>
      <w:r>
        <w:rPr>
          <w:rFonts w:hint="eastAsia" w:ascii="宋体" w:hAnsi="宋体" w:eastAsia="宋体"/>
        </w:rPr>
        <w:t>9</w:t>
      </w:r>
      <w:r>
        <w:rPr>
          <w:rFonts w:hint="eastAsia"/>
        </w:rPr>
        <w:t>时</w:t>
      </w:r>
      <w:r>
        <w:rPr>
          <w:rFonts w:hint="eastAsia" w:ascii="宋体" w:hAnsi="宋体" w:eastAsia="宋体"/>
        </w:rPr>
        <w:t>05</w:t>
      </w:r>
      <w:r>
        <w:rPr>
          <w:rFonts w:hint="eastAsia"/>
        </w:rPr>
        <w:t>分下井作业，李某勇现场监护。</w:t>
      </w:r>
    </w:p>
    <w:p w14:paraId="7221804C">
      <w:pPr>
        <w:spacing w:line="240" w:lineRule="auto"/>
        <w:ind w:firstLine="0" w:firstLineChars="0"/>
        <w:jc w:val="center"/>
      </w:pPr>
      <w:r>
        <w:drawing>
          <wp:inline distT="0" distB="0" distL="0" distR="0">
            <wp:extent cx="5357495" cy="3012440"/>
            <wp:effectExtent l="0" t="0" r="0" b="0"/>
            <wp:docPr id="3" name="图片 3" descr="E:\王进军\危化\2023年\执法检查\事故\中泰富瑞\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王进军\危化\2023年\执法检查\事故\中泰富瑞\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363845" cy="3016405"/>
                    </a:xfrm>
                    <a:prstGeom prst="rect">
                      <a:avLst/>
                    </a:prstGeom>
                    <a:noFill/>
                    <a:ln>
                      <a:noFill/>
                    </a:ln>
                  </pic:spPr>
                </pic:pic>
              </a:graphicData>
            </a:graphic>
          </wp:inline>
        </w:drawing>
      </w:r>
    </w:p>
    <w:p w14:paraId="5E55AA44">
      <w:pPr>
        <w:pStyle w:val="26"/>
      </w:pPr>
      <w:r>
        <w:rPr>
          <w:rFonts w:hint="eastAsia"/>
        </w:rPr>
        <w:t>9月29日徐某威和李某勇作业现场视频监控截图</w:t>
      </w:r>
    </w:p>
    <w:p w14:paraId="1234CC6B">
      <w:pPr>
        <w:ind w:firstLine="640"/>
      </w:pPr>
      <w:r>
        <w:rPr>
          <w:rFonts w:hint="eastAsia" w:ascii="宋体" w:hAnsi="宋体" w:eastAsia="宋体"/>
        </w:rPr>
        <w:t>9</w:t>
      </w:r>
      <w:r>
        <w:rPr>
          <w:rFonts w:hint="eastAsia"/>
        </w:rPr>
        <w:t>时</w:t>
      </w:r>
      <w:r>
        <w:rPr>
          <w:rFonts w:hint="eastAsia" w:ascii="宋体" w:hAnsi="宋体" w:eastAsia="宋体"/>
        </w:rPr>
        <w:t>08</w:t>
      </w:r>
      <w:r>
        <w:rPr>
          <w:rFonts w:hint="eastAsia"/>
        </w:rPr>
        <w:t>分，李某勇发现井内作业的徐某威出现异常，便立即打电话向综合部姚某刚求救，同时现场大喊求救；</w:t>
      </w:r>
      <w:r>
        <w:rPr>
          <w:rFonts w:hint="eastAsia" w:ascii="宋体" w:hAnsi="宋体" w:eastAsia="宋体"/>
        </w:rPr>
        <w:t>9</w:t>
      </w:r>
      <w:r>
        <w:rPr>
          <w:rFonts w:hint="eastAsia"/>
        </w:rPr>
        <w:t>时</w:t>
      </w:r>
      <w:r>
        <w:rPr>
          <w:rFonts w:hint="eastAsia" w:ascii="宋体" w:hAnsi="宋体" w:eastAsia="宋体"/>
        </w:rPr>
        <w:t>09</w:t>
      </w:r>
      <w:r>
        <w:rPr>
          <w:rFonts w:hint="eastAsia"/>
        </w:rPr>
        <w:t>分，李某勇脱掉外套和安全帽，未采取任何防护措施便下井施救导致中毒窒息。</w:t>
      </w:r>
    </w:p>
    <w:p w14:paraId="5E2CA92F">
      <w:pPr>
        <w:spacing w:line="240" w:lineRule="auto"/>
        <w:ind w:firstLine="0" w:firstLineChars="0"/>
        <w:jc w:val="center"/>
        <w:rPr>
          <w:b/>
        </w:rPr>
      </w:pPr>
      <w:r>
        <w:rPr>
          <w:b/>
        </w:rPr>
        <w:drawing>
          <wp:inline distT="0" distB="0" distL="0" distR="0">
            <wp:extent cx="5363845" cy="2679700"/>
            <wp:effectExtent l="0" t="0" r="8255" b="6350"/>
            <wp:docPr id="4" name="图片 4" descr="E:\王进军\危化\2023年\执法检查\事故\中泰富瑞\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王进军\危化\2023年\执法检查\事故\中泰富瑞\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363845" cy="2680022"/>
                    </a:xfrm>
                    <a:prstGeom prst="rect">
                      <a:avLst/>
                    </a:prstGeom>
                    <a:noFill/>
                    <a:ln>
                      <a:noFill/>
                    </a:ln>
                  </pic:spPr>
                </pic:pic>
              </a:graphicData>
            </a:graphic>
          </wp:inline>
        </w:drawing>
      </w:r>
    </w:p>
    <w:p w14:paraId="4C1DE001">
      <w:pPr>
        <w:pStyle w:val="26"/>
      </w:pPr>
      <w:r>
        <w:rPr>
          <w:rFonts w:hint="eastAsia"/>
        </w:rPr>
        <w:t>9月29日李某勇现场施救视频截图</w:t>
      </w:r>
    </w:p>
    <w:p w14:paraId="525BFE52">
      <w:pPr>
        <w:pStyle w:val="15"/>
        <w:ind w:firstLine="643"/>
      </w:pPr>
      <w:bookmarkStart w:id="8" w:name="_Toc148600617"/>
      <w:bookmarkStart w:id="9" w:name="_Toc149745602"/>
      <w:r>
        <w:rPr>
          <w:rFonts w:hint="eastAsia"/>
        </w:rPr>
        <w:t>（四）事故现场情况</w:t>
      </w:r>
      <w:bookmarkEnd w:id="8"/>
      <w:bookmarkEnd w:id="9"/>
    </w:p>
    <w:p w14:paraId="78513FC7">
      <w:pPr>
        <w:ind w:firstLine="640"/>
      </w:pPr>
      <w:r>
        <w:rPr>
          <w:rFonts w:hint="eastAsia"/>
        </w:rPr>
        <w:t>经现场勘察，该污水管道井位于宁夏中泰富瑞科技有限公司厂区东侧外围墙处，管道井西侧围墙内为公司食堂，东、南、北侧均为部分空地。事故发生于管道井内，管道井为锥形井，井口直径0.8米，井深</w:t>
      </w:r>
      <w:r>
        <w:rPr>
          <w:rFonts w:hint="eastAsia" w:ascii="宋体" w:hAnsi="宋体" w:eastAsia="宋体"/>
        </w:rPr>
        <w:t>2.77</w:t>
      </w:r>
      <w:r>
        <w:rPr>
          <w:rFonts w:hint="eastAsia"/>
        </w:rPr>
        <w:t>米，井底直径1.55米。</w:t>
      </w:r>
    </w:p>
    <w:p w14:paraId="1EE61B92">
      <w:pPr>
        <w:spacing w:before="156" w:beforeLines="50" w:line="240" w:lineRule="auto"/>
        <w:ind w:firstLine="0" w:firstLineChars="0"/>
        <w:jc w:val="center"/>
      </w:pPr>
      <w:r>
        <w:drawing>
          <wp:inline distT="0" distB="0" distL="0" distR="0">
            <wp:extent cx="4994910" cy="2654300"/>
            <wp:effectExtent l="0" t="0" r="0" b="0"/>
            <wp:docPr id="5" name="图片 5" descr="E:\王进军\危化\2023年\执法检查\事故\中泰富瑞\微信图片_202310191107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王进军\危化\2023年\执法检查\事故\中泰富瑞\微信图片_2023101911071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002661" cy="2658517"/>
                    </a:xfrm>
                    <a:prstGeom prst="rect">
                      <a:avLst/>
                    </a:prstGeom>
                    <a:noFill/>
                    <a:ln>
                      <a:noFill/>
                    </a:ln>
                  </pic:spPr>
                </pic:pic>
              </a:graphicData>
            </a:graphic>
          </wp:inline>
        </w:drawing>
      </w:r>
    </w:p>
    <w:p w14:paraId="0F994E64">
      <w:pPr>
        <w:pStyle w:val="26"/>
      </w:pPr>
      <w:r>
        <w:rPr>
          <w:rFonts w:hint="eastAsia"/>
        </w:rPr>
        <w:t>事故污水管道井剖面图</w:t>
      </w:r>
    </w:p>
    <w:p w14:paraId="09E85E45">
      <w:pPr>
        <w:spacing w:line="240" w:lineRule="auto"/>
        <w:ind w:firstLine="0" w:firstLineChars="0"/>
        <w:jc w:val="center"/>
      </w:pPr>
      <w:r>
        <w:drawing>
          <wp:inline distT="0" distB="0" distL="0" distR="0">
            <wp:extent cx="4953635" cy="3281680"/>
            <wp:effectExtent l="0" t="0" r="0" b="0"/>
            <wp:docPr id="6" name="图片 6" descr="D:\Users Documents\Documents\WeChat Files\wxid_vij2875p8glw22\FileStorage\Temp\464ad78cf424b5a4c0c32ce812ff9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Users Documents\Documents\WeChat Files\wxid_vij2875p8glw22\FileStorage\Temp\464ad78cf424b5a4c0c32ce812ff9a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4954393" cy="3282456"/>
                    </a:xfrm>
                    <a:prstGeom prst="rect">
                      <a:avLst/>
                    </a:prstGeom>
                    <a:noFill/>
                    <a:ln>
                      <a:noFill/>
                    </a:ln>
                  </pic:spPr>
                </pic:pic>
              </a:graphicData>
            </a:graphic>
          </wp:inline>
        </w:drawing>
      </w:r>
    </w:p>
    <w:p w14:paraId="68DB07F3">
      <w:pPr>
        <w:pStyle w:val="26"/>
      </w:pPr>
      <w:r>
        <w:rPr>
          <w:rFonts w:hint="eastAsia"/>
        </w:rPr>
        <w:t>事故污水管道井内部</w:t>
      </w:r>
    </w:p>
    <w:p w14:paraId="19442881">
      <w:pPr>
        <w:ind w:firstLine="640"/>
      </w:pPr>
      <w:r>
        <w:rPr>
          <w:rFonts w:hint="eastAsia" w:ascii="仿宋_GB2312" w:hAnsi="仿宋_GB2312" w:cs="仿宋_GB2312"/>
          <w:szCs w:val="32"/>
          <w:lang w:bidi="ar"/>
        </w:rPr>
        <w:t>现场勘察发现，作业现场有安全绳（未使用）、安全帽、角磨机、切割片、封堵用PE堵头，角磨机已接入厂区围栏内配电箱，井内排污管道已有切开痕迹。现场取样检测发现井内有相当浓度的硫化氢气体。</w:t>
      </w:r>
    </w:p>
    <w:p w14:paraId="0D9F5BB3">
      <w:pPr>
        <w:spacing w:before="156" w:beforeLines="50" w:line="240" w:lineRule="auto"/>
        <w:ind w:firstLine="0" w:firstLineChars="0"/>
        <w:jc w:val="center"/>
      </w:pPr>
      <w:r>
        <w:drawing>
          <wp:inline distT="0" distB="0" distL="0" distR="0">
            <wp:extent cx="4776470" cy="2722245"/>
            <wp:effectExtent l="0" t="0" r="5080" b="1905"/>
            <wp:docPr id="8" name="图片 8" descr="D:\Users Documents\Documents\WeChat Files\wxid_vij2875p8glw22\FileStorage\Temp\66a360e535c33a51370941cf3ab4f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Users Documents\Documents\WeChat Files\wxid_vij2875p8glw22\FileStorage\Temp\66a360e535c33a51370941cf3ab4ff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778099" cy="2723517"/>
                    </a:xfrm>
                    <a:prstGeom prst="rect">
                      <a:avLst/>
                    </a:prstGeom>
                    <a:noFill/>
                    <a:ln>
                      <a:noFill/>
                    </a:ln>
                  </pic:spPr>
                </pic:pic>
              </a:graphicData>
            </a:graphic>
          </wp:inline>
        </w:drawing>
      </w:r>
    </w:p>
    <w:p w14:paraId="61DE3F7A">
      <w:pPr>
        <w:pStyle w:val="26"/>
      </w:pPr>
      <w:r>
        <w:rPr>
          <w:rFonts w:hint="eastAsia"/>
        </w:rPr>
        <w:t>事故现场使用工具</w:t>
      </w:r>
    </w:p>
    <w:p w14:paraId="7D0D163A">
      <w:pPr>
        <w:spacing w:line="240" w:lineRule="auto"/>
        <w:ind w:firstLine="0" w:firstLineChars="0"/>
      </w:pPr>
      <w:r>
        <w:drawing>
          <wp:inline distT="0" distB="0" distL="0" distR="0">
            <wp:extent cx="5186045" cy="28384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1"/>
                    <a:stretch>
                      <a:fillRect/>
                    </a:stretch>
                  </pic:blipFill>
                  <pic:spPr>
                    <a:xfrm>
                      <a:off x="0" y="0"/>
                      <a:ext cx="5191211" cy="2841505"/>
                    </a:xfrm>
                    <a:prstGeom prst="rect">
                      <a:avLst/>
                    </a:prstGeom>
                  </pic:spPr>
                </pic:pic>
              </a:graphicData>
            </a:graphic>
          </wp:inline>
        </w:drawing>
      </w:r>
    </w:p>
    <w:p w14:paraId="4AAD08B2">
      <w:pPr>
        <w:pStyle w:val="26"/>
      </w:pPr>
      <w:r>
        <w:rPr>
          <w:rFonts w:hint="eastAsia"/>
        </w:rPr>
        <w:t>事故井内排污管道切痕</w:t>
      </w:r>
    </w:p>
    <w:p w14:paraId="449AD00E">
      <w:pPr>
        <w:spacing w:line="240" w:lineRule="auto"/>
        <w:ind w:firstLine="0" w:firstLineChars="0"/>
      </w:pPr>
      <w:bookmarkStart w:id="10" w:name="_Toc148600618"/>
      <w:r>
        <w:drawing>
          <wp:inline distT="0" distB="0" distL="0" distR="0">
            <wp:extent cx="5274310" cy="3862070"/>
            <wp:effectExtent l="0" t="0" r="254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2"/>
                    <a:stretch>
                      <a:fillRect/>
                    </a:stretch>
                  </pic:blipFill>
                  <pic:spPr>
                    <a:xfrm>
                      <a:off x="0" y="0"/>
                      <a:ext cx="5275130" cy="3862514"/>
                    </a:xfrm>
                    <a:prstGeom prst="rect">
                      <a:avLst/>
                    </a:prstGeom>
                  </pic:spPr>
                </pic:pic>
              </a:graphicData>
            </a:graphic>
          </wp:inline>
        </w:drawing>
      </w:r>
    </w:p>
    <w:p w14:paraId="06C31573">
      <w:pPr>
        <w:pStyle w:val="26"/>
      </w:pPr>
      <w:r>
        <w:rPr>
          <w:rFonts w:hint="eastAsia"/>
        </w:rPr>
        <w:t>事故现场取样检测数据</w:t>
      </w:r>
    </w:p>
    <w:p w14:paraId="72E8CEC3">
      <w:pPr>
        <w:pStyle w:val="15"/>
        <w:ind w:firstLine="643"/>
      </w:pPr>
      <w:bookmarkStart w:id="11" w:name="_Toc149745603"/>
      <w:r>
        <w:rPr>
          <w:rFonts w:hint="eastAsia"/>
        </w:rPr>
        <w:t>（五）人员伤亡和直接经济损失</w:t>
      </w:r>
      <w:bookmarkEnd w:id="10"/>
      <w:bookmarkEnd w:id="11"/>
    </w:p>
    <w:p w14:paraId="11AAEC23">
      <w:pPr>
        <w:ind w:firstLine="640"/>
      </w:pPr>
      <w:r>
        <w:rPr>
          <w:rFonts w:hint="eastAsia"/>
        </w:rPr>
        <w:t>事故造成宁夏中泰富瑞科技有限公司</w:t>
      </w:r>
      <w:r>
        <w:rPr>
          <w:rFonts w:hint="eastAsia" w:ascii="宋体" w:hAnsi="宋体" w:eastAsia="宋体"/>
        </w:rPr>
        <w:t>2</w:t>
      </w:r>
      <w:r>
        <w:rPr>
          <w:rFonts w:hint="eastAsia"/>
        </w:rPr>
        <w:t>名作业人员死亡。</w:t>
      </w:r>
    </w:p>
    <w:p w14:paraId="0ABD572D">
      <w:pPr>
        <w:ind w:firstLine="640"/>
      </w:pPr>
      <w:r>
        <w:rPr>
          <w:rFonts w:hint="eastAsia"/>
        </w:rPr>
        <w:t>死者李某勇，男，</w:t>
      </w:r>
      <w:r>
        <w:rPr>
          <w:rFonts w:hint="eastAsia" w:ascii="宋体" w:hAnsi="宋体" w:eastAsia="宋体"/>
        </w:rPr>
        <w:t>48</w:t>
      </w:r>
      <w:r>
        <w:rPr>
          <w:rFonts w:hint="eastAsia"/>
        </w:rPr>
        <w:t>岁，</w:t>
      </w:r>
      <w:r>
        <w:rPr>
          <w:rFonts w:hint="eastAsia" w:ascii="宋体" w:hAnsi="宋体" w:eastAsia="宋体"/>
        </w:rPr>
        <w:t>1975</w:t>
      </w:r>
      <w:r>
        <w:rPr>
          <w:rFonts w:hint="eastAsia"/>
        </w:rPr>
        <w:t>年</w:t>
      </w:r>
      <w:r>
        <w:rPr>
          <w:rFonts w:hint="eastAsia" w:ascii="宋体" w:hAnsi="宋体" w:eastAsia="宋体"/>
        </w:rPr>
        <w:t>2</w:t>
      </w:r>
      <w:r>
        <w:rPr>
          <w:rFonts w:hint="eastAsia"/>
        </w:rPr>
        <w:t>月出生，户籍地址：宁夏银川市兴庆区；</w:t>
      </w:r>
    </w:p>
    <w:p w14:paraId="2E1BD44B">
      <w:pPr>
        <w:ind w:firstLine="640"/>
      </w:pPr>
      <w:r>
        <w:rPr>
          <w:rFonts w:hint="eastAsia"/>
        </w:rPr>
        <w:t>死者徐某威，男，</w:t>
      </w:r>
      <w:r>
        <w:rPr>
          <w:rFonts w:hint="eastAsia" w:ascii="宋体" w:hAnsi="宋体" w:eastAsia="宋体"/>
        </w:rPr>
        <w:t>38</w:t>
      </w:r>
      <w:r>
        <w:rPr>
          <w:rFonts w:hint="eastAsia"/>
        </w:rPr>
        <w:t>岁，</w:t>
      </w:r>
      <w:r>
        <w:rPr>
          <w:rFonts w:hint="eastAsia" w:ascii="宋体" w:hAnsi="宋体" w:eastAsia="宋体"/>
        </w:rPr>
        <w:t>1985</w:t>
      </w:r>
      <w:r>
        <w:rPr>
          <w:rFonts w:hint="eastAsia"/>
        </w:rPr>
        <w:t>年</w:t>
      </w:r>
      <w:r>
        <w:rPr>
          <w:rFonts w:hint="eastAsia" w:ascii="宋体" w:hAnsi="宋体" w:eastAsia="宋体"/>
        </w:rPr>
        <w:t>7</w:t>
      </w:r>
      <w:r>
        <w:rPr>
          <w:rFonts w:hint="eastAsia"/>
        </w:rPr>
        <w:t>月出生，户籍地址：宁夏灵武市。</w:t>
      </w:r>
    </w:p>
    <w:p w14:paraId="31A823FA">
      <w:pPr>
        <w:pStyle w:val="3"/>
        <w:ind w:firstLine="640"/>
      </w:pPr>
      <w:bookmarkStart w:id="12" w:name="_Toc148600619"/>
      <w:bookmarkStart w:id="13" w:name="_Toc149745604"/>
      <w:r>
        <w:rPr>
          <w:rFonts w:hint="eastAsia"/>
        </w:rPr>
        <w:t>二、事故应急处置及评估情况</w:t>
      </w:r>
      <w:bookmarkEnd w:id="12"/>
      <w:bookmarkEnd w:id="13"/>
    </w:p>
    <w:p w14:paraId="40DDC21F">
      <w:pPr>
        <w:pStyle w:val="15"/>
        <w:ind w:firstLine="643"/>
      </w:pPr>
      <w:bookmarkStart w:id="14" w:name="_Toc146658407"/>
      <w:bookmarkStart w:id="15" w:name="_Toc146705917"/>
      <w:bookmarkStart w:id="16" w:name="_Toc148600620"/>
      <w:bookmarkStart w:id="17" w:name="_Toc149745605"/>
      <w:r>
        <w:rPr>
          <w:rFonts w:hint="eastAsia"/>
        </w:rPr>
        <w:t>（</w:t>
      </w:r>
      <w:r>
        <w:rPr>
          <w:rFonts w:hint="eastAsia"/>
          <w:spacing w:val="-74"/>
        </w:rPr>
        <w:t xml:space="preserve"> </w:t>
      </w:r>
      <w:r>
        <w:rPr>
          <w:rFonts w:hint="eastAsia"/>
        </w:rPr>
        <w:t>一）事故信息接报及响应情况</w:t>
      </w:r>
      <w:bookmarkEnd w:id="14"/>
      <w:bookmarkEnd w:id="15"/>
      <w:bookmarkEnd w:id="16"/>
      <w:bookmarkEnd w:id="17"/>
    </w:p>
    <w:p w14:paraId="159C6BBE">
      <w:pPr>
        <w:ind w:firstLine="640"/>
      </w:pPr>
      <w:r>
        <w:rPr>
          <w:rFonts w:hint="eastAsia" w:ascii="宋体" w:hAnsi="宋体" w:eastAsia="宋体"/>
        </w:rPr>
        <w:t>9</w:t>
      </w:r>
      <w:r>
        <w:rPr>
          <w:rFonts w:hint="eastAsia"/>
        </w:rPr>
        <w:t>月</w:t>
      </w:r>
      <w:r>
        <w:rPr>
          <w:rFonts w:hint="eastAsia" w:ascii="宋体" w:hAnsi="宋体" w:eastAsia="宋体"/>
        </w:rPr>
        <w:t>29</w:t>
      </w:r>
      <w:r>
        <w:rPr>
          <w:rFonts w:hint="eastAsia"/>
        </w:rPr>
        <w:t>日</w:t>
      </w:r>
      <w:r>
        <w:rPr>
          <w:rFonts w:hint="eastAsia" w:ascii="宋体" w:hAnsi="宋体" w:eastAsia="宋体"/>
        </w:rPr>
        <w:t>9</w:t>
      </w:r>
      <w:r>
        <w:rPr>
          <w:rFonts w:hint="eastAsia"/>
        </w:rPr>
        <w:t>时</w:t>
      </w:r>
      <w:r>
        <w:rPr>
          <w:rFonts w:hint="eastAsia" w:ascii="宋体" w:hAnsi="宋体" w:eastAsia="宋体"/>
        </w:rPr>
        <w:t>10</w:t>
      </w:r>
      <w:r>
        <w:rPr>
          <w:rFonts w:hint="eastAsia"/>
        </w:rPr>
        <w:t>分，听到李某勇喊声的门口保安人员立即赶到现场，此时姚某刚也随即到达现场，在观察并呼喊井内两名人员无回应后，姚某刚于</w:t>
      </w:r>
      <w:r>
        <w:rPr>
          <w:rFonts w:hint="eastAsia" w:ascii="宋体" w:hAnsi="宋体" w:eastAsia="宋体"/>
        </w:rPr>
        <w:t>9</w:t>
      </w:r>
      <w:r>
        <w:rPr>
          <w:rFonts w:hint="eastAsia"/>
        </w:rPr>
        <w:t>时</w:t>
      </w:r>
      <w:r>
        <w:rPr>
          <w:rFonts w:hint="eastAsia" w:ascii="宋体" w:hAnsi="宋体" w:eastAsia="宋体"/>
        </w:rPr>
        <w:t>12</w:t>
      </w:r>
      <w:r>
        <w:rPr>
          <w:rFonts w:hint="eastAsia"/>
        </w:rPr>
        <w:t>分打电话向总经理朱某进行了汇报，并于</w:t>
      </w:r>
      <w:r>
        <w:rPr>
          <w:rFonts w:hint="eastAsia" w:ascii="宋体" w:hAnsi="宋体" w:eastAsia="宋体"/>
        </w:rPr>
        <w:t>9</w:t>
      </w:r>
      <w:r>
        <w:rPr>
          <w:rFonts w:hint="eastAsia"/>
        </w:rPr>
        <w:t>时</w:t>
      </w:r>
      <w:r>
        <w:rPr>
          <w:rFonts w:hint="eastAsia" w:ascii="宋体" w:hAnsi="宋体" w:eastAsia="宋体"/>
        </w:rPr>
        <w:t>18</w:t>
      </w:r>
      <w:r>
        <w:rPr>
          <w:rFonts w:hint="eastAsia"/>
        </w:rPr>
        <w:t>分拨打了</w:t>
      </w:r>
      <w:r>
        <w:rPr>
          <w:rFonts w:hint="eastAsia" w:ascii="宋体" w:hAnsi="宋体" w:eastAsia="宋体"/>
        </w:rPr>
        <w:t>120</w:t>
      </w:r>
      <w:r>
        <w:rPr>
          <w:rFonts w:hint="eastAsia"/>
        </w:rPr>
        <w:t>急救电话；</w:t>
      </w:r>
      <w:r>
        <w:rPr>
          <w:rFonts w:hint="eastAsia" w:ascii="宋体" w:hAnsi="宋体" w:eastAsia="宋体"/>
        </w:rPr>
        <w:t>9</w:t>
      </w:r>
      <w:r>
        <w:rPr>
          <w:rFonts w:hint="eastAsia"/>
        </w:rPr>
        <w:t>时</w:t>
      </w:r>
      <w:r>
        <w:rPr>
          <w:rFonts w:hint="eastAsia" w:ascii="宋体" w:hAnsi="宋体" w:eastAsia="宋体"/>
        </w:rPr>
        <w:t>53</w:t>
      </w:r>
      <w:r>
        <w:rPr>
          <w:rFonts w:hint="eastAsia"/>
        </w:rPr>
        <w:t>分，宁东医院向宁东应急局报告相关情况，宁东应急局当日带班领导及工作人员赶至现场了解情况后，</w:t>
      </w:r>
      <w:r>
        <w:rPr>
          <w:rFonts w:hint="eastAsia" w:ascii="宋体" w:hAnsi="宋体" w:eastAsia="宋体"/>
        </w:rPr>
        <w:t>10</w:t>
      </w:r>
      <w:r>
        <w:rPr>
          <w:rFonts w:hint="eastAsia"/>
        </w:rPr>
        <w:t>时</w:t>
      </w:r>
      <w:r>
        <w:rPr>
          <w:rFonts w:hint="eastAsia" w:ascii="宋体" w:hAnsi="宋体" w:eastAsia="宋体"/>
        </w:rPr>
        <w:t>26</w:t>
      </w:r>
      <w:r>
        <w:rPr>
          <w:rFonts w:hint="eastAsia"/>
        </w:rPr>
        <w:t>分向自治区应急指挥中心</w:t>
      </w:r>
      <w:r>
        <w:rPr>
          <w:rFonts w:hint="eastAsia" w:ascii="仿宋_GB2312" w:hAnsi="仿宋_GB2312" w:cs="仿宋_GB2312"/>
          <w:szCs w:val="32"/>
        </w:rPr>
        <w:t>报告了相关事故情况。</w:t>
      </w:r>
    </w:p>
    <w:p w14:paraId="78DD9B02">
      <w:pPr>
        <w:pStyle w:val="15"/>
        <w:ind w:firstLine="643"/>
      </w:pPr>
      <w:bookmarkStart w:id="18" w:name="_Toc148600621"/>
      <w:bookmarkStart w:id="19" w:name="_Toc149745606"/>
      <w:r>
        <w:rPr>
          <w:rFonts w:hint="eastAsia"/>
        </w:rPr>
        <w:t>（二）</w:t>
      </w:r>
      <w:bookmarkStart w:id="20" w:name="_Toc146658408"/>
      <w:bookmarkStart w:id="21" w:name="_Toc146705918"/>
      <w:r>
        <w:rPr>
          <w:rFonts w:hint="eastAsia"/>
        </w:rPr>
        <w:t>事故现场应急处置情况</w:t>
      </w:r>
      <w:bookmarkEnd w:id="18"/>
      <w:bookmarkEnd w:id="19"/>
      <w:bookmarkEnd w:id="20"/>
      <w:bookmarkEnd w:id="21"/>
    </w:p>
    <w:p w14:paraId="4902DB5C">
      <w:pPr>
        <w:ind w:firstLine="640"/>
      </w:pPr>
      <w:r>
        <w:rPr>
          <w:rFonts w:hint="eastAsia"/>
        </w:rPr>
        <w:t>接到姚某刚电话后，总经理朱某和生产部副经理王某宇立即赶往事故现场，朱某现场判断是硫化氢中毒，立即组织救援人员将李某勇和徐某威救出并现场进行心肺复苏。</w:t>
      </w:r>
      <w:r>
        <w:rPr>
          <w:rFonts w:hint="eastAsia" w:ascii="宋体" w:hAnsi="宋体" w:eastAsia="宋体"/>
        </w:rPr>
        <w:t>9</w:t>
      </w:r>
      <w:r>
        <w:rPr>
          <w:rFonts w:hint="eastAsia"/>
        </w:rPr>
        <w:t>时</w:t>
      </w:r>
      <w:r>
        <w:rPr>
          <w:rFonts w:hint="eastAsia" w:ascii="宋体" w:hAnsi="宋体" w:eastAsia="宋体"/>
        </w:rPr>
        <w:t>42</w:t>
      </w:r>
      <w:r>
        <w:rPr>
          <w:rFonts w:hint="eastAsia"/>
        </w:rPr>
        <w:t>分，宁东医院到达事故现场进行初步急救并于</w:t>
      </w:r>
      <w:r>
        <w:rPr>
          <w:rFonts w:hint="eastAsia" w:ascii="宋体" w:hAnsi="宋体" w:eastAsia="宋体"/>
        </w:rPr>
        <w:t>9</w:t>
      </w:r>
      <w:r>
        <w:rPr>
          <w:rFonts w:hint="eastAsia"/>
        </w:rPr>
        <w:t>时</w:t>
      </w:r>
      <w:r>
        <w:rPr>
          <w:rFonts w:hint="eastAsia" w:ascii="宋体" w:hAnsi="宋体" w:eastAsia="宋体"/>
        </w:rPr>
        <w:t>50</w:t>
      </w:r>
      <w:r>
        <w:rPr>
          <w:rFonts w:hint="eastAsia"/>
        </w:rPr>
        <w:t>分左右将两名人员送往宁东医院进一步抢救，救援结束。</w:t>
      </w:r>
    </w:p>
    <w:p w14:paraId="7A509817">
      <w:pPr>
        <w:pStyle w:val="15"/>
        <w:ind w:firstLine="643"/>
      </w:pPr>
      <w:bookmarkStart w:id="22" w:name="_Toc146705919"/>
      <w:bookmarkStart w:id="23" w:name="_Toc148600622"/>
      <w:bookmarkStart w:id="24" w:name="_Toc149745607"/>
      <w:bookmarkStart w:id="25" w:name="_Toc146658409"/>
      <w:r>
        <w:rPr>
          <w:rFonts w:hint="eastAsia"/>
        </w:rPr>
        <w:t>（三）医疗救治和善后情况</w:t>
      </w:r>
      <w:bookmarkEnd w:id="22"/>
      <w:bookmarkEnd w:id="23"/>
      <w:bookmarkEnd w:id="24"/>
      <w:bookmarkEnd w:id="25"/>
    </w:p>
    <w:p w14:paraId="177724A7">
      <w:pPr>
        <w:ind w:firstLine="640"/>
      </w:pPr>
      <w:r>
        <w:rPr>
          <w:rFonts w:hint="eastAsia"/>
        </w:rPr>
        <w:t>人员被送往宁东医院后全力救治，1</w:t>
      </w:r>
      <w:r>
        <w:rPr>
          <w:rFonts w:hint="eastAsia" w:ascii="宋体" w:hAnsi="宋体" w:eastAsia="宋体"/>
        </w:rPr>
        <w:t>0</w:t>
      </w:r>
      <w:r>
        <w:rPr>
          <w:rFonts w:hint="eastAsia"/>
        </w:rPr>
        <w:t>时</w:t>
      </w:r>
      <w:r>
        <w:rPr>
          <w:rFonts w:hint="eastAsia" w:ascii="宋体" w:hAnsi="宋体" w:eastAsia="宋体"/>
        </w:rPr>
        <w:t>46</w:t>
      </w:r>
      <w:r>
        <w:rPr>
          <w:rFonts w:hint="eastAsia"/>
        </w:rPr>
        <w:t>分，宁东医院宣布李某勇经抢救无效死亡，</w:t>
      </w:r>
      <w:r>
        <w:rPr>
          <w:rFonts w:hint="eastAsia" w:ascii="宋体" w:hAnsi="宋体" w:eastAsia="宋体"/>
        </w:rPr>
        <w:t>11</w:t>
      </w:r>
      <w:r>
        <w:rPr>
          <w:rFonts w:hint="eastAsia"/>
        </w:rPr>
        <w:t>时</w:t>
      </w:r>
      <w:r>
        <w:rPr>
          <w:rFonts w:hint="eastAsia" w:ascii="宋体" w:hAnsi="宋体" w:eastAsia="宋体"/>
        </w:rPr>
        <w:t>06</w:t>
      </w:r>
      <w:r>
        <w:rPr>
          <w:rFonts w:hint="eastAsia"/>
        </w:rPr>
        <w:t>分，宁东医院宣布徐志伟经抢救无效死亡。</w:t>
      </w:r>
    </w:p>
    <w:p w14:paraId="23DEF649">
      <w:pPr>
        <w:ind w:firstLine="640"/>
      </w:pPr>
      <w:r>
        <w:rPr>
          <w:rFonts w:hint="eastAsia"/>
        </w:rPr>
        <w:t>此次事故发生后，宁夏中泰富瑞科技有限公司立即通知逝者家属，成立事故善后处理小组，对家属进行安抚并协商赔偿事宜，最终达成赔偿协议。</w:t>
      </w:r>
    </w:p>
    <w:p w14:paraId="57F5A42B">
      <w:pPr>
        <w:pStyle w:val="15"/>
        <w:ind w:firstLine="643"/>
      </w:pPr>
      <w:bookmarkStart w:id="26" w:name="_Toc149745608"/>
      <w:bookmarkStart w:id="27" w:name="_Toc148600623"/>
      <w:r>
        <w:rPr>
          <w:rFonts w:hint="eastAsia"/>
        </w:rPr>
        <w:t>（四）事故应急处置评估</w:t>
      </w:r>
      <w:bookmarkEnd w:id="26"/>
      <w:bookmarkEnd w:id="27"/>
    </w:p>
    <w:p w14:paraId="0BD25A11">
      <w:pPr>
        <w:ind w:firstLine="640"/>
        <w:rPr>
          <w:rFonts w:ascii="仿宋_GB2312" w:hAnsi="仿宋_GB2312" w:cs="仿宋_GB2312"/>
          <w:szCs w:val="32"/>
        </w:rPr>
      </w:pPr>
      <w:r>
        <w:rPr>
          <w:rFonts w:hint="eastAsia"/>
        </w:rPr>
        <w:t>事故调查组对事故应急处置复盘评估认为，宁夏中泰富瑞科技有限公司现场应急处置培训不到位，部分员工应急救援过程中个人安全防护意识淡薄，</w:t>
      </w:r>
      <w:r>
        <w:rPr>
          <w:rFonts w:hint="eastAsia" w:ascii="仿宋" w:hAnsi="仿宋" w:eastAsia="仿宋" w:cs="仿宋"/>
          <w:szCs w:val="32"/>
        </w:rPr>
        <w:t>应急处置能力不足。如</w:t>
      </w:r>
      <w:r>
        <w:rPr>
          <w:rFonts w:hint="eastAsia"/>
        </w:rPr>
        <w:t>李某勇（监护人）发现井内作业的徐某威出现异常在大喊并拨打求救电话后，未做任何个人防护措施便盲目下井施救导致中毒窒息。宁夏中泰富瑞科技有限公司主要负责人及相关人员能够及时响应，第一时间赶到事故现场组织有序开展应急处置工作。</w:t>
      </w:r>
      <w:r>
        <w:rPr>
          <w:rFonts w:hint="eastAsia" w:ascii="仿宋_GB2312" w:hAnsi="仿宋_GB2312" w:cs="仿宋_GB2312"/>
          <w:szCs w:val="32"/>
        </w:rPr>
        <w:t>事故发生后，立即拨打了120，及时将伤者送至医院进行救治。能够积极配合事故调查，并对死者家属进行安抚，妥善处理了相关事宜。</w:t>
      </w:r>
    </w:p>
    <w:p w14:paraId="2FEDA1E0">
      <w:pPr>
        <w:ind w:firstLine="640"/>
      </w:pPr>
      <w:r>
        <w:rPr>
          <w:rFonts w:hint="eastAsia"/>
        </w:rPr>
        <w:t>宁东基地管委会各部门应急响应迅速，信息沟通较为畅通，较好的做到事故信息通报、事故现场及周边社会秩序的管理及舆情管控工作，指导涉事企业妥善处理事故遇难者善后事宜，安抚遇难者家属，履行了各部门职责。</w:t>
      </w:r>
    </w:p>
    <w:p w14:paraId="2852B186">
      <w:pPr>
        <w:pStyle w:val="3"/>
        <w:ind w:firstLine="640"/>
      </w:pPr>
      <w:bookmarkStart w:id="28" w:name="_Toc146705921"/>
      <w:bookmarkStart w:id="29" w:name="_Toc146658411"/>
      <w:bookmarkStart w:id="30" w:name="_Toc148600624"/>
      <w:bookmarkStart w:id="31" w:name="_Toc149745609"/>
      <w:r>
        <w:rPr>
          <w:rFonts w:hint="eastAsia"/>
        </w:rPr>
        <w:t>三、事故原因</w:t>
      </w:r>
      <w:bookmarkEnd w:id="28"/>
      <w:bookmarkEnd w:id="29"/>
      <w:bookmarkEnd w:id="30"/>
      <w:bookmarkEnd w:id="31"/>
    </w:p>
    <w:p w14:paraId="48D93010">
      <w:pPr>
        <w:pStyle w:val="15"/>
        <w:ind w:firstLine="643"/>
      </w:pPr>
      <w:bookmarkStart w:id="32" w:name="_Toc146705922"/>
      <w:bookmarkStart w:id="33" w:name="_Toc148600625"/>
      <w:bookmarkStart w:id="34" w:name="_Toc146658412"/>
      <w:bookmarkStart w:id="35" w:name="_Toc149745610"/>
      <w:r>
        <w:rPr>
          <w:rFonts w:hint="eastAsia"/>
        </w:rPr>
        <w:t>（一）直接原因</w:t>
      </w:r>
      <w:bookmarkEnd w:id="32"/>
      <w:bookmarkEnd w:id="33"/>
      <w:bookmarkEnd w:id="34"/>
      <w:bookmarkEnd w:id="35"/>
    </w:p>
    <w:p w14:paraId="5CD25966">
      <w:pPr>
        <w:ind w:firstLine="640"/>
      </w:pPr>
      <w:r>
        <w:rPr>
          <w:rFonts w:hint="eastAsia" w:ascii="宋体" w:hAnsi="宋体" w:eastAsia="宋体"/>
        </w:rPr>
        <w:t>9</w:t>
      </w:r>
      <w:r>
        <w:rPr>
          <w:rFonts w:hint="eastAsia"/>
        </w:rPr>
        <w:t>月</w:t>
      </w:r>
      <w:r>
        <w:rPr>
          <w:rFonts w:hint="eastAsia" w:ascii="宋体" w:hAnsi="宋体" w:eastAsia="宋体"/>
        </w:rPr>
        <w:t>29</w:t>
      </w:r>
      <w:r>
        <w:rPr>
          <w:rFonts w:hint="eastAsia"/>
        </w:rPr>
        <w:t>日</w:t>
      </w:r>
      <w:r>
        <w:rPr>
          <w:rFonts w:hint="eastAsia" w:ascii="宋体" w:hAnsi="宋体" w:eastAsia="宋体"/>
        </w:rPr>
        <w:t>8</w:t>
      </w:r>
      <w:r>
        <w:rPr>
          <w:rFonts w:hint="eastAsia"/>
        </w:rPr>
        <w:t>时</w:t>
      </w:r>
      <w:r>
        <w:rPr>
          <w:rFonts w:hint="eastAsia" w:ascii="宋体" w:hAnsi="宋体" w:eastAsia="宋体"/>
        </w:rPr>
        <w:t>48</w:t>
      </w:r>
      <w:r>
        <w:rPr>
          <w:rFonts w:hint="eastAsia"/>
        </w:rPr>
        <w:t>分，宁夏中泰富瑞科技有限公司</w:t>
      </w:r>
      <w:r>
        <w:rPr>
          <w:rFonts w:hint="eastAsia" w:ascii="宋体" w:hAnsi="宋体" w:eastAsia="宋体"/>
        </w:rPr>
        <w:t>2</w:t>
      </w:r>
      <w:r>
        <w:rPr>
          <w:rFonts w:hint="eastAsia"/>
        </w:rPr>
        <w:t>名维修人员违反公司安全管理规定，在未采取任何安全防护措施的情况下进入污水管道井切开外送污水管线进行加堵头封堵作业，污水管线切开后，污水管内集聚的硫化氢气体迅速泄放，造成一名作业人员硫化氢中毒窒息；作业监护人员未采取任何个人安全防护措施的情况下盲目施救，在施救过程中中毒窒息，造成事故后果扩大。</w:t>
      </w:r>
    </w:p>
    <w:p w14:paraId="194F7031">
      <w:pPr>
        <w:pStyle w:val="15"/>
        <w:ind w:firstLine="643"/>
      </w:pPr>
      <w:bookmarkStart w:id="36" w:name="_Toc146705923"/>
      <w:bookmarkStart w:id="37" w:name="_Toc148600626"/>
      <w:bookmarkStart w:id="38" w:name="_Toc146658413"/>
      <w:bookmarkStart w:id="39" w:name="_Toc149745611"/>
      <w:r>
        <w:rPr>
          <w:rFonts w:hint="eastAsia"/>
        </w:rPr>
        <w:t>（二）间接原因</w:t>
      </w:r>
      <w:bookmarkEnd w:id="36"/>
      <w:bookmarkEnd w:id="37"/>
      <w:bookmarkEnd w:id="38"/>
      <w:bookmarkEnd w:id="39"/>
    </w:p>
    <w:p w14:paraId="62FEFEB0">
      <w:pPr>
        <w:ind w:firstLine="643"/>
      </w:pPr>
      <w:r>
        <w:rPr>
          <w:rFonts w:hint="eastAsia" w:ascii="宋体" w:hAnsi="宋体" w:eastAsia="宋体"/>
          <w:b/>
        </w:rPr>
        <w:t>1.</w:t>
      </w:r>
      <w:r>
        <w:rPr>
          <w:rFonts w:hint="eastAsia"/>
          <w:b/>
        </w:rPr>
        <w:t>企业员工安全意识淡薄，存在严重的“三违行为”。</w:t>
      </w:r>
      <w:r>
        <w:rPr>
          <w:rFonts w:hint="eastAsia"/>
        </w:rPr>
        <w:t>作业人员私自进入受限空间进行巡查检查、作业且过程中违反公司操作规程及相关安全管理规定，作业人员及现场监护人员未作任何安全防护措施及应急准备措施，员工应急处置能力不足，盲目施救导致事故扩大。</w:t>
      </w:r>
    </w:p>
    <w:p w14:paraId="5E5EE010">
      <w:pPr>
        <w:ind w:firstLine="643"/>
      </w:pPr>
      <w:r>
        <w:rPr>
          <w:rFonts w:hint="eastAsia" w:ascii="宋体" w:hAnsi="宋体" w:eastAsia="宋体"/>
          <w:b/>
        </w:rPr>
        <w:t>2.</w:t>
      </w:r>
      <w:r>
        <w:rPr>
          <w:rFonts w:hint="eastAsia"/>
          <w:b/>
        </w:rPr>
        <w:t>企业未层层有效压实安全生产责任。</w:t>
      </w:r>
      <w:r>
        <w:rPr>
          <w:rFonts w:hint="eastAsia"/>
        </w:rPr>
        <w:t>公司安全管理层对落实企业地下排污口封堵工作的重视程度不够，对进入污水管道井进行封堵作业过程中可能存在的安全风险认知不足，对此项涉及特殊作业的工作随意安排，未针对该项作业制定作业方案，导致特殊作业环节失管失控。</w:t>
      </w:r>
    </w:p>
    <w:p w14:paraId="7FCFC183">
      <w:pPr>
        <w:ind w:firstLine="643"/>
      </w:pPr>
      <w:r>
        <w:rPr>
          <w:rFonts w:hint="eastAsia" w:ascii="宋体" w:hAnsi="宋体" w:eastAsia="宋体"/>
          <w:b/>
        </w:rPr>
        <w:t>3.</w:t>
      </w:r>
      <w:r>
        <w:rPr>
          <w:rFonts w:hint="eastAsia"/>
          <w:b/>
        </w:rPr>
        <w:t>企业安全管理制度执行不到位，安全监管缺失。</w:t>
      </w:r>
      <w:r>
        <w:rPr>
          <w:rFonts w:hint="eastAsia"/>
        </w:rPr>
        <w:t>企业管理制度特别是特殊作业安全管理制度落实流于形式，特殊作业未经任何审批，作业监管、员工行为管理严重缺失，随意进入受限空间进行巡查检查及作业。</w:t>
      </w:r>
    </w:p>
    <w:p w14:paraId="4FB4B085">
      <w:pPr>
        <w:ind w:firstLine="643"/>
        <w:rPr>
          <w:rFonts w:ascii="仿宋" w:hAnsi="仿宋" w:eastAsia="仿宋" w:cs="仿宋"/>
          <w:szCs w:val="32"/>
        </w:rPr>
      </w:pPr>
      <w:r>
        <w:rPr>
          <w:rFonts w:hint="eastAsia" w:ascii="宋体" w:hAnsi="宋体" w:eastAsia="宋体"/>
          <w:b/>
        </w:rPr>
        <w:t>4.</w:t>
      </w:r>
      <w:r>
        <w:rPr>
          <w:rFonts w:hint="eastAsia"/>
          <w:b/>
        </w:rPr>
        <w:t>企业培训教育不到位。</w:t>
      </w:r>
      <w:r>
        <w:rPr>
          <w:rFonts w:hint="eastAsia"/>
        </w:rPr>
        <w:t>对公司安全生产规章制度、员工安全行为规范、防护措施、应急处置能力的培训落实不足，企业员工行为随意且对受限空间作业安全风险认识不足，没有辨识受限空间作业风险的基本意识，对规范的作业流程和基本要求不了解不掌握；监护人不懂受限空间作业监护的基本要求，</w:t>
      </w:r>
      <w:r>
        <w:rPr>
          <w:rFonts w:hint="eastAsia" w:ascii="仿宋" w:hAnsi="仿宋" w:eastAsia="仿宋" w:cs="仿宋"/>
          <w:szCs w:val="32"/>
        </w:rPr>
        <w:t>未提醒及监督作业人员做好个体防护，作业现场未配备任何防护及应急救援器材，员工应急救援能力不足，应急处置不当。</w:t>
      </w:r>
    </w:p>
    <w:p w14:paraId="28BF12C3">
      <w:pPr>
        <w:pStyle w:val="3"/>
        <w:ind w:firstLine="640"/>
      </w:pPr>
      <w:bookmarkStart w:id="40" w:name="_Toc149745612"/>
      <w:bookmarkStart w:id="41" w:name="_Toc148600627"/>
      <w:r>
        <w:rPr>
          <w:rFonts w:hint="eastAsia"/>
        </w:rPr>
        <w:t>四、对有关责任人员及责任单位的处理建议</w:t>
      </w:r>
      <w:bookmarkEnd w:id="40"/>
      <w:bookmarkEnd w:id="41"/>
    </w:p>
    <w:p w14:paraId="7AD00124">
      <w:pPr>
        <w:pStyle w:val="15"/>
        <w:ind w:firstLine="643"/>
      </w:pPr>
      <w:bookmarkStart w:id="42" w:name="_Toc148600628"/>
      <w:bookmarkStart w:id="43" w:name="_Toc149745613"/>
      <w:r>
        <w:rPr>
          <w:rFonts w:hint="eastAsia"/>
        </w:rPr>
        <w:t>（一）对有关责任人员的处理建议</w:t>
      </w:r>
      <w:bookmarkEnd w:id="42"/>
      <w:bookmarkEnd w:id="43"/>
    </w:p>
    <w:p w14:paraId="57704441">
      <w:pPr>
        <w:ind w:firstLine="640"/>
        <w:rPr>
          <w:rFonts w:ascii="仿宋_GB2312" w:hAnsi="仿宋_GB2312" w:cs="仿宋_GB2312"/>
          <w:szCs w:val="32"/>
        </w:rPr>
      </w:pPr>
      <w:r>
        <w:rPr>
          <w:rFonts w:hint="eastAsia" w:ascii="宋体" w:hAnsi="宋体" w:eastAsia="宋体"/>
        </w:rPr>
        <w:t>1.</w:t>
      </w:r>
      <w:r>
        <w:rPr>
          <w:rFonts w:hint="eastAsia"/>
        </w:rPr>
        <w:t>徐某威，男，宁夏中泰富瑞科技有限公司维修工，事故作业人员，未经作业许可私自下井作业，违反公司管理规定及作业规程，作业前未开展受限空间作业风险辨识，作业过程中未做任何安全防护措施，导致事故发生，对事故发生负有直接责任，鉴于其已在事故中</w:t>
      </w:r>
      <w:r>
        <w:rPr>
          <w:rFonts w:hint="eastAsia" w:ascii="仿宋_GB2312" w:hAnsi="仿宋_GB2312" w:cs="仿宋_GB2312"/>
          <w:szCs w:val="32"/>
        </w:rPr>
        <w:t>死亡，不再追究其责任。</w:t>
      </w:r>
    </w:p>
    <w:p w14:paraId="066FCC85">
      <w:pPr>
        <w:ind w:firstLine="640"/>
        <w:rPr>
          <w:rFonts w:ascii="仿宋_GB2312" w:hAnsi="仿宋_GB2312" w:cs="仿宋_GB2312"/>
          <w:szCs w:val="32"/>
        </w:rPr>
      </w:pPr>
      <w:r>
        <w:rPr>
          <w:rFonts w:hint="eastAsia" w:ascii="宋体" w:hAnsi="宋体" w:eastAsia="宋体"/>
        </w:rPr>
        <w:t>2.</w:t>
      </w:r>
      <w:r>
        <w:rPr>
          <w:rFonts w:hint="eastAsia" w:ascii="仿宋_GB2312" w:hAnsi="仿宋_GB2312" w:cs="仿宋_GB2312"/>
          <w:szCs w:val="32"/>
        </w:rPr>
        <w:t>李某勇，男，</w:t>
      </w:r>
      <w:r>
        <w:rPr>
          <w:rFonts w:hint="eastAsia"/>
        </w:rPr>
        <w:t>宁夏中泰富瑞科技有限公司维修工，事故作业监护人员，未经作业许可监护徐某威开展作业，违反公司管理规定及作业规程，作业前未开展受限空间作业风险辨识，作业过程中未正确履行监护人职责，发现异常后未做任何个人安全防护措施盲目施救，导致事故扩大，对事故发生负有直接责任，鉴于其已在事故中</w:t>
      </w:r>
      <w:r>
        <w:rPr>
          <w:rFonts w:hint="eastAsia" w:ascii="仿宋_GB2312" w:hAnsi="仿宋_GB2312" w:cs="仿宋_GB2312"/>
          <w:szCs w:val="32"/>
        </w:rPr>
        <w:t>死亡，不再追究其责任。</w:t>
      </w:r>
    </w:p>
    <w:p w14:paraId="2514581A">
      <w:pPr>
        <w:ind w:firstLine="640"/>
        <w:rPr>
          <w:rFonts w:ascii="仿宋_GB2312" w:hAnsi="仿宋_GB2312" w:cs="仿宋_GB2312"/>
          <w:szCs w:val="32"/>
        </w:rPr>
      </w:pPr>
      <w:r>
        <w:rPr>
          <w:rFonts w:hint="eastAsia" w:ascii="宋体" w:hAnsi="宋体" w:eastAsia="宋体"/>
        </w:rPr>
        <w:t>3.</w:t>
      </w:r>
      <w:r>
        <w:rPr>
          <w:rFonts w:hint="eastAsia" w:ascii="仿宋_GB2312" w:hAnsi="仿宋_GB2312" w:cs="仿宋_GB2312"/>
          <w:szCs w:val="32"/>
        </w:rPr>
        <w:t>黄某海，男，宁夏中泰富瑞科技有限公司维修班班长，负责检维修作业安全管理，安全管理责任履职不到位，违章指挥，带头违反公司安全管理规定及操作规程，在未取得许可，</w:t>
      </w:r>
      <w:r>
        <w:rPr>
          <w:rFonts w:hint="eastAsia"/>
        </w:rPr>
        <w:t>未做任何防护措施的情况下，</w:t>
      </w:r>
      <w:r>
        <w:rPr>
          <w:rFonts w:hint="eastAsia" w:ascii="仿宋_GB2312" w:hAnsi="仿宋_GB2312" w:cs="仿宋_GB2312"/>
          <w:szCs w:val="32"/>
        </w:rPr>
        <w:t>于</w:t>
      </w:r>
      <w:r>
        <w:rPr>
          <w:rFonts w:hint="eastAsia" w:ascii="宋体" w:hAnsi="宋体" w:eastAsia="宋体"/>
        </w:rPr>
        <w:t>9</w:t>
      </w:r>
      <w:r>
        <w:rPr>
          <w:rFonts w:hint="eastAsia"/>
        </w:rPr>
        <w:t>月</w:t>
      </w:r>
      <w:r>
        <w:rPr>
          <w:rFonts w:hint="eastAsia" w:ascii="宋体" w:hAnsi="宋体" w:eastAsia="宋体"/>
        </w:rPr>
        <w:t>28</w:t>
      </w:r>
      <w:r>
        <w:rPr>
          <w:rFonts w:hint="eastAsia"/>
        </w:rPr>
        <w:t>日带领维修工徐某威进入事故管道井（受限空间）检查井内作业前情况，该违章行为虽未直接导致9月29日事故发生，但对9月29日实施作业的徐某威违章进入管道井作业有一定的误导，对员工日常行为有一定影响，同时未对进入该管道井及后期管道井排污口封堵作业可能存在的风险进行辨识和告知提醒，对事故发生负有主要领导责任，</w:t>
      </w:r>
      <w:r>
        <w:rPr>
          <w:rFonts w:hint="eastAsia"/>
          <w:lang w:bidi="ar"/>
        </w:rPr>
        <w:t>建议由宁东应急局</w:t>
      </w:r>
      <w:r>
        <w:rPr>
          <w:rFonts w:hint="eastAsia"/>
          <w:spacing w:val="13"/>
          <w:lang w:bidi="ar"/>
        </w:rPr>
        <w:t>依</w:t>
      </w:r>
      <w:r>
        <w:rPr>
          <w:rFonts w:hint="eastAsia"/>
        </w:rPr>
        <w:t>照</w:t>
      </w:r>
      <w:r>
        <w:rPr>
          <w:rFonts w:hint="eastAsia"/>
          <w:lang w:bidi="ar"/>
        </w:rPr>
        <w:t>《中华人民共和国安全生产法》或《安全生产违法行为行政处罚办法》相关规定对其进行行政处罚</w:t>
      </w:r>
      <w:r>
        <w:rPr>
          <w:rFonts w:hint="eastAsia" w:ascii="仿宋_GB2312" w:hAnsi="仿宋_GB2312" w:cs="仿宋_GB2312"/>
          <w:szCs w:val="32"/>
        </w:rPr>
        <w:t>。</w:t>
      </w:r>
    </w:p>
    <w:p w14:paraId="114B5B92">
      <w:pPr>
        <w:ind w:firstLine="640"/>
        <w:rPr>
          <w:rFonts w:ascii="仿宋_GB2312" w:hAnsi="仿宋_GB2312" w:cs="仿宋_GB2312"/>
          <w:szCs w:val="32"/>
        </w:rPr>
      </w:pPr>
      <w:r>
        <w:rPr>
          <w:rFonts w:hint="eastAsia" w:ascii="仿宋_GB2312" w:hAnsi="仿宋_GB2312" w:cs="仿宋_GB2312"/>
          <w:szCs w:val="32"/>
        </w:rPr>
        <w:t>4.王某，男，宁夏中泰富瑞科技有限公司环保总监，负责公司环保工作，安全管理不到位，未落实“三管三必须”规定，对落实涉事污水管道井</w:t>
      </w:r>
      <w:r>
        <w:rPr>
          <w:rFonts w:hint="eastAsia"/>
        </w:rPr>
        <w:t>排污口封堵工作重视程度不够随意安排，未与公司负责检维修作业的生产部门充分沟通并组织制定工作方案，未跟进监督检查指导；</w:t>
      </w:r>
      <w:r>
        <w:rPr>
          <w:rFonts w:hint="eastAsia" w:ascii="仿宋_GB2312" w:hAnsi="仿宋_GB2312" w:cs="仿宋_GB2312"/>
          <w:szCs w:val="32"/>
        </w:rPr>
        <w:t>安全教育培训工作不到位，</w:t>
      </w:r>
      <w:r>
        <w:rPr>
          <w:rFonts w:hint="eastAsia"/>
        </w:rPr>
        <w:t>对涉水环保设施安全风险管控不到位，</w:t>
      </w:r>
      <w:r>
        <w:rPr>
          <w:rFonts w:hint="eastAsia" w:ascii="仿宋_GB2312" w:hAnsi="仿宋_GB2312" w:cs="仿宋_GB2312"/>
          <w:szCs w:val="32"/>
        </w:rPr>
        <w:t>对事故发生负有重要领导责任，</w:t>
      </w:r>
      <w:r>
        <w:rPr>
          <w:rFonts w:hint="eastAsia"/>
          <w:lang w:bidi="ar"/>
        </w:rPr>
        <w:t>建议由宁东应急局</w:t>
      </w:r>
      <w:r>
        <w:rPr>
          <w:rFonts w:hint="eastAsia"/>
          <w:spacing w:val="13"/>
          <w:lang w:bidi="ar"/>
        </w:rPr>
        <w:t>依</w:t>
      </w:r>
      <w:r>
        <w:rPr>
          <w:rFonts w:hint="eastAsia"/>
        </w:rPr>
        <w:t>照</w:t>
      </w:r>
      <w:r>
        <w:rPr>
          <w:rFonts w:hint="eastAsia"/>
          <w:lang w:bidi="ar"/>
        </w:rPr>
        <w:t>《中华人民共和国安全生产法》或《安全生产违法行为行政处罚办法》相关规定对其进行行政处罚。</w:t>
      </w:r>
    </w:p>
    <w:p w14:paraId="356DE58A">
      <w:pPr>
        <w:ind w:firstLine="640"/>
        <w:rPr>
          <w:rFonts w:ascii="仿宋_GB2312" w:hAnsi="仿宋_GB2312" w:cs="仿宋_GB2312"/>
          <w:szCs w:val="32"/>
        </w:rPr>
      </w:pPr>
      <w:r>
        <w:rPr>
          <w:rFonts w:hint="eastAsia" w:ascii="仿宋_GB2312" w:hAnsi="仿宋_GB2312" w:cs="仿宋_GB2312"/>
          <w:szCs w:val="32"/>
        </w:rPr>
        <w:t>5.朱某,男,宁夏中泰富瑞科技有限公司总经理,</w:t>
      </w:r>
      <w:r>
        <w:rPr>
          <w:rFonts w:hint="eastAsia"/>
        </w:rPr>
        <w:t xml:space="preserve"> 负责公司全面工作，未认真履行公司安全生产第一责任人职责，安全管理不到位，对公司安全生产工作领导不力，未层层压紧压实安全责任，全员安全生产责任制流于形式，员工“三违”行为突出，</w:t>
      </w:r>
      <w:r>
        <w:rPr>
          <w:rFonts w:hint="eastAsia" w:ascii="仿宋_GB2312" w:hAnsi="仿宋_GB2312" w:cs="仿宋_GB2312"/>
          <w:szCs w:val="32"/>
        </w:rPr>
        <w:t>对涉事污水管道井</w:t>
      </w:r>
      <w:r>
        <w:rPr>
          <w:rFonts w:hint="eastAsia"/>
        </w:rPr>
        <w:t>排污口封堵工作重视程度不够，未有效督促落实此项工作，对事故发生负有重要领导责任，</w:t>
      </w:r>
      <w:r>
        <w:rPr>
          <w:rFonts w:hint="eastAsia"/>
          <w:lang w:bidi="ar"/>
        </w:rPr>
        <w:t>建议由宁东应急局</w:t>
      </w:r>
      <w:r>
        <w:rPr>
          <w:rFonts w:hint="eastAsia"/>
          <w:spacing w:val="13"/>
          <w:lang w:bidi="ar"/>
        </w:rPr>
        <w:t>依</w:t>
      </w:r>
      <w:r>
        <w:rPr>
          <w:rFonts w:hint="eastAsia"/>
        </w:rPr>
        <w:t>照</w:t>
      </w:r>
      <w:r>
        <w:rPr>
          <w:rFonts w:hint="eastAsia"/>
          <w:lang w:bidi="ar"/>
        </w:rPr>
        <w:t>《中华人民共和国安全生产法》或《安全生产违法行为行政处罚办法》相关规定对其进行行政处罚。</w:t>
      </w:r>
    </w:p>
    <w:p w14:paraId="5D166712">
      <w:pPr>
        <w:ind w:firstLine="640"/>
      </w:pPr>
      <w:r>
        <w:rPr>
          <w:rFonts w:hint="eastAsia" w:ascii="仿宋_GB2312" w:hAnsi="仿宋_GB2312" w:cs="仿宋_GB2312"/>
          <w:szCs w:val="32"/>
        </w:rPr>
        <w:t>6.尹某军，男，宁夏中泰富瑞科技有限公司安全总监，协助公司主要负责人履行安全生产工作职责，负责公司安全管理工作，对涉事污水管道井</w:t>
      </w:r>
      <w:r>
        <w:rPr>
          <w:rFonts w:hint="eastAsia"/>
        </w:rPr>
        <w:t>排污口封堵工作不知情，安全监督管理不到位，鉴于其在事故发生前日将政府部门对特殊作业的相关规定要求在公司管理人员工作群进行了告知提醒，且在日常安全监督检查过程中对发现的事故当事人徐某威的“三违”行为进行过考核处理，同时落实了员工的日常安全培训教育，履行了相关职责，建议由</w:t>
      </w:r>
      <w:r>
        <w:rPr>
          <w:rFonts w:hint="eastAsia" w:ascii="仿宋_GB2312" w:hAnsi="仿宋_GB2312" w:cs="仿宋_GB2312"/>
          <w:szCs w:val="32"/>
        </w:rPr>
        <w:t>宁夏中泰富瑞科技有限公司按照公司相关规定予以处理，处理结果向属地应急管理局报备</w:t>
      </w:r>
      <w:r>
        <w:rPr>
          <w:rFonts w:hint="eastAsia"/>
        </w:rPr>
        <w:t>。</w:t>
      </w:r>
    </w:p>
    <w:p w14:paraId="50FF69F7">
      <w:pPr>
        <w:pStyle w:val="15"/>
        <w:ind w:firstLine="643"/>
      </w:pPr>
      <w:bookmarkStart w:id="44" w:name="_Toc148600629"/>
      <w:bookmarkStart w:id="45" w:name="_Toc149745614"/>
      <w:r>
        <w:rPr>
          <w:rFonts w:hint="eastAsia"/>
          <w:lang w:bidi="ar"/>
        </w:rPr>
        <w:t>（二）</w:t>
      </w:r>
      <w:r>
        <w:rPr>
          <w:rFonts w:hint="eastAsia"/>
        </w:rPr>
        <w:t>对有关责任单位的行政处罚建议</w:t>
      </w:r>
      <w:bookmarkEnd w:id="44"/>
      <w:bookmarkEnd w:id="45"/>
    </w:p>
    <w:p w14:paraId="2FF3C500">
      <w:pPr>
        <w:ind w:firstLine="640"/>
      </w:pPr>
      <w:r>
        <w:rPr>
          <w:rFonts w:hint="eastAsia"/>
        </w:rPr>
        <w:t>7.</w:t>
      </w:r>
      <w:r>
        <w:rPr>
          <w:rFonts w:hint="eastAsia" w:ascii="仿宋_GB2312" w:hAnsi="仿宋_GB2312" w:cs="仿宋_GB2312"/>
          <w:szCs w:val="32"/>
        </w:rPr>
        <w:t xml:space="preserve"> 宁夏中泰富瑞科技有限公司，</w:t>
      </w:r>
      <w:r>
        <w:rPr>
          <w:rFonts w:hint="eastAsia"/>
        </w:rPr>
        <w:t>未有效落实企业安全生产主体责任，违反了《中华人民共和国安</w:t>
      </w:r>
      <w:r>
        <w:rPr>
          <w:rFonts w:hint="eastAsia"/>
          <w:lang w:bidi="ar"/>
        </w:rPr>
        <w:t>全生产法》第四条</w:t>
      </w:r>
      <w:r>
        <w:rPr>
          <w:rFonts w:hint="eastAsia" w:ascii="仿宋_GB2312" w:hAnsi="仿宋_GB2312" w:cs="仿宋_GB2312"/>
          <w:szCs w:val="32"/>
          <w:vertAlign w:val="superscript"/>
        </w:rPr>
        <w:t>[</w:t>
      </w:r>
      <w:r>
        <w:rPr>
          <w:rFonts w:ascii="仿宋_GB2312" w:hAnsi="仿宋_GB2312" w:cs="仿宋_GB2312"/>
          <w:szCs w:val="32"/>
          <w:vertAlign w:val="superscript"/>
        </w:rPr>
        <w:footnoteReference w:id="0"/>
      </w:r>
      <w:r>
        <w:rPr>
          <w:rFonts w:hint="eastAsia" w:ascii="仿宋_GB2312" w:hAnsi="仿宋_GB2312" w:cs="仿宋_GB2312"/>
          <w:szCs w:val="32"/>
          <w:vertAlign w:val="superscript"/>
        </w:rPr>
        <w:t>]</w:t>
      </w:r>
      <w:r>
        <w:rPr>
          <w:rFonts w:hint="eastAsia"/>
          <w:lang w:bidi="ar"/>
        </w:rPr>
        <w:t>的规定。依据《中华人民共和国安全生产法》第一百一十四条第（一）项</w:t>
      </w:r>
      <w:r>
        <w:rPr>
          <w:rFonts w:hint="eastAsia" w:ascii="仿宋_GB2312" w:hAnsi="仿宋_GB2312" w:cs="仿宋_GB2312"/>
          <w:szCs w:val="32"/>
          <w:vertAlign w:val="superscript"/>
        </w:rPr>
        <w:t>[</w:t>
      </w:r>
      <w:r>
        <w:rPr>
          <w:rFonts w:ascii="仿宋_GB2312" w:hAnsi="仿宋_GB2312" w:cs="仿宋_GB2312"/>
          <w:szCs w:val="32"/>
          <w:vertAlign w:val="superscript"/>
        </w:rPr>
        <w:footnoteReference w:id="1"/>
      </w:r>
      <w:r>
        <w:rPr>
          <w:rFonts w:hint="eastAsia" w:ascii="仿宋_GB2312" w:hAnsi="仿宋_GB2312" w:cs="仿宋_GB2312"/>
          <w:szCs w:val="32"/>
          <w:vertAlign w:val="superscript"/>
        </w:rPr>
        <w:t>]</w:t>
      </w:r>
      <w:r>
        <w:rPr>
          <w:rFonts w:hint="eastAsia"/>
          <w:lang w:bidi="ar"/>
        </w:rPr>
        <w:t>规定，</w:t>
      </w:r>
      <w:r>
        <w:rPr>
          <w:rFonts w:hint="eastAsia"/>
        </w:rPr>
        <w:t>建议由宁东应急管理局对其进行行政处罚。</w:t>
      </w:r>
    </w:p>
    <w:p w14:paraId="320A5429">
      <w:pPr>
        <w:pStyle w:val="3"/>
        <w:ind w:firstLine="640"/>
      </w:pPr>
      <w:bookmarkStart w:id="46" w:name="_Toc148600630"/>
      <w:bookmarkStart w:id="47" w:name="_Toc149745615"/>
      <w:r>
        <w:rPr>
          <w:rFonts w:hint="eastAsia"/>
        </w:rPr>
        <w:t>五、事故防范和整改措施</w:t>
      </w:r>
      <w:bookmarkEnd w:id="46"/>
      <w:bookmarkEnd w:id="47"/>
    </w:p>
    <w:p w14:paraId="6769E66B">
      <w:pPr>
        <w:ind w:firstLine="643"/>
      </w:pPr>
      <w:r>
        <w:rPr>
          <w:rFonts w:hint="eastAsia"/>
          <w:b/>
          <w:bCs/>
        </w:rPr>
        <w:t>（一）树牢安全发展理念。</w:t>
      </w:r>
      <w:r>
        <w:rPr>
          <w:rFonts w:hint="eastAsia"/>
        </w:rPr>
        <w:t>要认真学习贯彻落实习近平总书记关于安全生产重要指示批示精神，全面落实自治区党委十三届四次、五次全会精神，</w:t>
      </w:r>
      <w:bookmarkStart w:id="48" w:name="_GoBack"/>
      <w:bookmarkEnd w:id="48"/>
      <w:r>
        <w:rPr>
          <w:rFonts w:hint="eastAsia"/>
        </w:rPr>
        <w:t>把安全发展理念贯穿企业生产经营全过程。要深刻吸取事故沉痛教训，全面梳理完善各项规章制度，健全完善全员安全生产责任制并层层有效落实。要培养员工安全习惯，着力营造浓厚的安全文化氛围。</w:t>
      </w:r>
    </w:p>
    <w:p w14:paraId="1B934528">
      <w:pPr>
        <w:ind w:firstLine="643"/>
        <w:rPr>
          <w:rFonts w:ascii="仿宋_GB2312" w:hAnsi="仿宋_GB2312" w:cs="仿宋_GB2312"/>
          <w:szCs w:val="32"/>
        </w:rPr>
      </w:pPr>
      <w:r>
        <w:rPr>
          <w:rFonts w:hint="eastAsia"/>
          <w:b/>
        </w:rPr>
        <w:t>（二）组织开展安全大排查大整治。一是</w:t>
      </w:r>
      <w:r>
        <w:rPr>
          <w:rFonts w:hint="eastAsia"/>
        </w:rPr>
        <w:t>企业要认真组织开展安全审计工作，全面识别安全管理体系的短板弱项，系统提升安全管理水平；</w:t>
      </w:r>
      <w:r>
        <w:rPr>
          <w:rFonts w:hint="eastAsia"/>
          <w:b/>
        </w:rPr>
        <w:t>二是</w:t>
      </w:r>
      <w:r>
        <w:rPr>
          <w:rFonts w:hint="eastAsia"/>
        </w:rPr>
        <w:t>要组织各级管理人员、一线</w:t>
      </w:r>
      <w:r>
        <w:rPr>
          <w:rFonts w:hint="eastAsia" w:ascii="仿宋_GB2312" w:hAnsi="仿宋_GB2312" w:cs="仿宋_GB2312"/>
          <w:szCs w:val="32"/>
        </w:rPr>
        <w:t>员工从公司生产装置现场、特殊作业、应急处置等关键环节全链条查问题找不足，全面摸排风险隐患和盲区漏洞，特别是对全厂涉及有限空间点开展全面排查，同时从管理制度、审批流程到作业现场管理系统梳理，严格规范管理，切实补齐短板，确保责任到人，同时要强化教育培训，高度重视人员行为管理，坚决杜绝类似事故再次发生。</w:t>
      </w:r>
    </w:p>
    <w:p w14:paraId="1D608C7F">
      <w:pPr>
        <w:ind w:firstLine="643"/>
      </w:pPr>
      <w:r>
        <w:rPr>
          <w:rFonts w:hint="eastAsia"/>
          <w:b/>
        </w:rPr>
        <w:t>（三）强化培训教育特别是警示教育。</w:t>
      </w:r>
      <w:r>
        <w:rPr>
          <w:rFonts w:hint="eastAsia"/>
        </w:rPr>
        <w:t>企业要对本次事故经验教训，制作警示教育视频并报属地应急管理局。要完善培训教育体制机制，</w:t>
      </w:r>
      <w:r>
        <w:rPr>
          <w:rFonts w:hint="eastAsia"/>
          <w:lang w:bidi="ar"/>
        </w:rPr>
        <w:t>严格落实《关于加强全区生产经营企业全员安全培训的方案》要求，组织全员安全培训。班组长、安全管理人员和工艺技术员等重点岗位，要组织全员实训并考核合格。企业要结合生产经营实际，科学制定培训内容，</w:t>
      </w:r>
      <w:r>
        <w:rPr>
          <w:rFonts w:hint="eastAsia"/>
          <w:spacing w:val="13"/>
        </w:rPr>
        <w:t>培训内容要涵盖安全意识、管理水平、安全技能和急救能力，</w:t>
      </w:r>
      <w:r>
        <w:rPr>
          <w:rFonts w:hint="eastAsia"/>
          <w:lang w:bidi="ar"/>
        </w:rPr>
        <w:t>通过</w:t>
      </w:r>
      <w:r>
        <w:rPr>
          <w:rFonts w:hint="eastAsia"/>
        </w:rPr>
        <w:t>专项培训、日常安全培训教育，</w:t>
      </w:r>
      <w:r>
        <w:rPr>
          <w:rFonts w:hint="eastAsia"/>
          <w:lang w:bidi="ar"/>
        </w:rPr>
        <w:t>做到全员熟知“四不伤害”、全员具备岗位“五会五懂五能”安全素养，</w:t>
      </w:r>
      <w:r>
        <w:rPr>
          <w:rFonts w:hint="eastAsia"/>
        </w:rPr>
        <w:t>要组织公司全员常态化学习此次事故及区内外同类型其他事故，高度警示深刻汲取事故教训，以事故为戒，切实做到培训教育深入一线员工，入脑入心。</w:t>
      </w:r>
    </w:p>
    <w:p w14:paraId="32EA8697">
      <w:pPr>
        <w:ind w:firstLine="643"/>
      </w:pPr>
      <w:r>
        <w:rPr>
          <w:rFonts w:hint="eastAsia"/>
          <w:b/>
        </w:rPr>
        <w:t>（四）强化制度规范执行</w:t>
      </w:r>
      <w:r>
        <w:rPr>
          <w:rFonts w:hint="eastAsia"/>
        </w:rPr>
        <w:t>。要深刻吸取事故教训，组织对公司安全管理职责、制度流程及操作规程进行梳理完善，并进行公司全员培训学习，要强化特殊作业审批、报备、现场确认和作业过程等各个环节的风险管控。同时要强化制度规范执行的考核，要建立健全反“三违”长效机制，加强“三违”行为整治力度，坚决杜绝再次因“三违”行为发生生产安全事故。</w:t>
      </w:r>
    </w:p>
    <w:p w14:paraId="252F43E5">
      <w:pPr>
        <w:ind w:firstLine="643"/>
      </w:pPr>
      <w:r>
        <w:rPr>
          <w:rFonts w:hint="eastAsia"/>
          <w:b/>
        </w:rPr>
        <w:t>（五）完善应急救援预案强化应急演练。</w:t>
      </w:r>
      <w:r>
        <w:rPr>
          <w:rFonts w:hint="eastAsia"/>
        </w:rPr>
        <w:t>要以各类突发事件应急响应全过程为主线，进一步健全完善应急救援预案，结合公司特点、难点、重点组织开展应急预案演练，重点针对员工岗位应急知识运用进行实践演练，切实提高员工应急处置能力。</w:t>
      </w:r>
    </w:p>
    <w:p w14:paraId="4B36A25E">
      <w:pPr>
        <w:ind w:firstLine="640"/>
      </w:pPr>
    </w:p>
    <w:p w14:paraId="004A6853">
      <w:pPr>
        <w:ind w:firstLine="640"/>
      </w:pPr>
    </w:p>
    <w:p w14:paraId="565BA1B0">
      <w:pPr>
        <w:ind w:firstLine="640"/>
      </w:pPr>
    </w:p>
    <w:p w14:paraId="6CDB90DA">
      <w:pPr>
        <w:wordWrap w:val="0"/>
        <w:ind w:firstLineChars="0"/>
        <w:jc w:val="right"/>
      </w:pPr>
      <w:r>
        <w:rPr>
          <w:rFonts w:hint="eastAsia"/>
        </w:rPr>
        <w:t>宁东能源化工基地管理委员会</w:t>
      </w:r>
      <w:r>
        <w:t>事故调查组</w:t>
      </w:r>
      <w:r>
        <w:rPr>
          <w:rFonts w:hint="eastAsia"/>
        </w:rPr>
        <w:t xml:space="preserve">   </w:t>
      </w:r>
    </w:p>
    <w:p w14:paraId="1114FB3A">
      <w:pPr>
        <w:wordWrap w:val="0"/>
        <w:ind w:firstLine="636"/>
        <w:jc w:val="right"/>
      </w:pPr>
      <w:r>
        <w:rPr>
          <w:rFonts w:eastAsia="Times New Roman" w:cs="Times New Roman"/>
          <w:spacing w:val="-1"/>
        </w:rPr>
        <w:t>2023</w:t>
      </w:r>
      <w:r>
        <w:rPr>
          <w:spacing w:val="-1"/>
        </w:rPr>
        <w:t>年</w:t>
      </w:r>
      <w:r>
        <w:rPr>
          <w:spacing w:val="-71"/>
        </w:rPr>
        <w:t xml:space="preserve"> </w:t>
      </w:r>
      <w:r>
        <w:rPr>
          <w:rFonts w:hint="eastAsia" w:eastAsia="宋体" w:cs="Times New Roman"/>
          <w:spacing w:val="-1"/>
        </w:rPr>
        <w:t>10</w:t>
      </w:r>
      <w:r>
        <w:rPr>
          <w:spacing w:val="-1"/>
        </w:rPr>
        <w:t>月</w:t>
      </w:r>
      <w:r>
        <w:rPr>
          <w:rFonts w:hint="eastAsia"/>
          <w:spacing w:val="-1"/>
        </w:rPr>
        <w:t xml:space="preserve">              </w:t>
      </w:r>
    </w:p>
    <w:sectPr>
      <w:headerReference r:id="rId12" w:type="default"/>
      <w:footerReference r:id="rId13" w:type="default"/>
      <w:pgSz w:w="11906" w:h="16838"/>
      <w:pgMar w:top="2098" w:right="1474" w:bottom="1588" w:left="1985" w:header="851" w:footer="992" w:gutter="0"/>
      <w:pgNumType w:start="1"/>
      <w:cols w:space="425" w:num="1"/>
      <w:docGrid w:type="linesAndChar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Arial">
    <w:panose1 w:val="020B0604020202020204"/>
    <w:charset w:val="00"/>
    <w:family w:val="swiss"/>
    <w:pitch w:val="default"/>
    <w:sig w:usb0="E0002EFF" w:usb1="C000785B" w:usb2="00000009" w:usb3="00000000" w:csb0="400001FF" w:csb1="FFFF0000"/>
  </w:font>
  <w:font w:name="楷体_GB2312">
    <w:panose1 w:val="02010609030101010101"/>
    <w:charset w:val="86"/>
    <w:family w:val="modern"/>
    <w:pitch w:val="default"/>
    <w:sig w:usb0="00000001" w:usb1="080E0000" w:usb2="00000000" w:usb3="00000000" w:csb0="00040000" w:csb1="00000000"/>
  </w:font>
  <w:font w:name="CIDFont+F5">
    <w:altName w:val="Times New Roman"/>
    <w:panose1 w:val="00000000000000000000"/>
    <w:charset w:val="00"/>
    <w:family w:val="roman"/>
    <w:pitch w:val="default"/>
    <w:sig w:usb0="00000000" w:usb1="00000000" w:usb2="00000000" w:usb3="00000000" w:csb0="00000000" w:csb1="00000000"/>
  </w:font>
  <w:font w:name="CIDFont+F2">
    <w:altName w:val="Times New Roman"/>
    <w:panose1 w:val="00000000000000000000"/>
    <w:charset w:val="00"/>
    <w:family w:val="roman"/>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E19988">
    <w:pPr>
      <w:pStyle w:val="10"/>
      <w:ind w:firstLine="420"/>
      <w:jc w:val="center"/>
      <w:rPr>
        <w:sz w:val="21"/>
        <w:szCs w:val="21"/>
      </w:rPr>
    </w:pPr>
  </w:p>
  <w:p w14:paraId="5852B97C">
    <w:pPr>
      <w:pStyle w:val="1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81DFAD">
    <w:pPr>
      <w:pStyle w:val="1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41CC07">
    <w:pPr>
      <w:pStyle w:val="1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62AFD2">
    <w:pPr>
      <w:pStyle w:val="10"/>
      <w:ind w:firstLine="360"/>
      <w:jc w:val="center"/>
    </w:pPr>
  </w:p>
  <w:p w14:paraId="692D3C38">
    <w:pPr>
      <w:pStyle w:val="10"/>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33252067"/>
      <w:docPartObj>
        <w:docPartGallery w:val="AutoText"/>
      </w:docPartObj>
    </w:sdtPr>
    <w:sdtContent>
      <w:p w14:paraId="71A3D9C7">
        <w:pPr>
          <w:pStyle w:val="10"/>
          <w:ind w:firstLine="360"/>
          <w:jc w:val="center"/>
        </w:pPr>
        <w:r>
          <w:fldChar w:fldCharType="begin"/>
        </w:r>
        <w:r>
          <w:instrText xml:space="preserve">PAGE   \* MERGEFORMAT</w:instrText>
        </w:r>
        <w:r>
          <w:fldChar w:fldCharType="separate"/>
        </w:r>
        <w:r>
          <w:rPr>
            <w:lang w:val="zh-CN"/>
          </w:rPr>
          <w:t>17</w:t>
        </w:r>
        <w:r>
          <w:fldChar w:fldCharType="end"/>
        </w:r>
      </w:p>
    </w:sdtContent>
  </w:sdt>
  <w:p w14:paraId="12486F4B">
    <w:pPr>
      <w:pStyle w:val="10"/>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240" w:lineRule="auto"/>
        <w:ind w:firstLine="640"/>
      </w:pPr>
      <w:r>
        <w:separator/>
      </w:r>
    </w:p>
  </w:footnote>
  <w:footnote w:type="continuationSeparator" w:id="5">
    <w:p>
      <w:pPr>
        <w:spacing w:line="240" w:lineRule="auto"/>
        <w:ind w:firstLine="640"/>
      </w:pPr>
      <w:r>
        <w:continuationSeparator/>
      </w:r>
    </w:p>
  </w:footnote>
  <w:footnote w:id="0">
    <w:p w14:paraId="4F54DCA3">
      <w:pPr>
        <w:pStyle w:val="13"/>
        <w:spacing w:line="240" w:lineRule="auto"/>
        <w:ind w:firstLine="0" w:firstLineChars="0"/>
        <w:rPr>
          <w:rFonts w:ascii="宋体" w:hAnsi="宋体" w:eastAsia="宋体"/>
        </w:rPr>
      </w:pPr>
      <w:r>
        <w:rPr>
          <w:rFonts w:hint="eastAsia" w:ascii="宋体" w:hAnsi="宋体" w:eastAsia="宋体"/>
        </w:rPr>
        <w:t>[</w:t>
      </w:r>
      <w:r>
        <w:rPr>
          <w:rFonts w:ascii="宋体" w:hAnsi="宋体" w:eastAsia="宋体"/>
        </w:rPr>
        <w:footnoteRef/>
      </w:r>
      <w:r>
        <w:rPr>
          <w:rFonts w:hint="eastAsia" w:ascii="宋体" w:hAnsi="宋体" w:eastAsia="宋体"/>
        </w:rPr>
        <w:t>]  《中华人民共和国安全生产法》第四条：生产经营单位必须遵守本法和其他有关安全生产的法律、法规，加强安全生产管理，建立健全全员安全生产责任制和安全生产规章制度，加大对安全生产资金、物资、技术、人员的投入保障力度，改善安全生产条件，推进安全生产标准化、信息化建设，构建安全生产风险分级管控和隐患排查治理双重预防机制，健全风险防范化解机制，提高安全生产水平，确保安全生产。</w:t>
      </w:r>
    </w:p>
  </w:footnote>
  <w:footnote w:id="1">
    <w:p w14:paraId="02D5B43A">
      <w:pPr>
        <w:pStyle w:val="13"/>
        <w:spacing w:line="240" w:lineRule="auto"/>
        <w:ind w:firstLine="0" w:firstLineChars="0"/>
        <w:rPr>
          <w:rFonts w:ascii="宋体" w:hAnsi="宋体" w:eastAsia="宋体"/>
        </w:rPr>
      </w:pPr>
      <w:r>
        <w:rPr>
          <w:rFonts w:hint="eastAsia" w:ascii="宋体" w:hAnsi="宋体" w:eastAsia="宋体"/>
        </w:rPr>
        <w:t>[</w:t>
      </w:r>
      <w:r>
        <w:rPr>
          <w:rFonts w:ascii="宋体" w:hAnsi="宋体" w:eastAsia="宋体"/>
        </w:rPr>
        <w:footnoteRef/>
      </w:r>
      <w:r>
        <w:rPr>
          <w:rFonts w:hint="eastAsia" w:ascii="宋体" w:hAnsi="宋体" w:eastAsia="宋体"/>
        </w:rPr>
        <w:t>]  《中华人民共和国安全生产法》第一百一十四条：发生生产安全事故，对负有责任的生产经营单位除要求依法承担相应的赔偿等责任外，由应急管理部门依照下列规定处以罚款：（一）发生一般事故的，处三十万元以上一百万元以下的罚款。</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CBF625">
    <w:pPr>
      <w:ind w:firstLine="64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756F52">
    <w:pPr>
      <w:ind w:firstLine="64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21F656">
    <w:pPr>
      <w:ind w:firstLine="64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50D450">
    <w:pPr>
      <w:ind w:firstLine="64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C72E86"/>
    <w:multiLevelType w:val="multilevel"/>
    <w:tmpl w:val="02C72E86"/>
    <w:lvl w:ilvl="0" w:tentative="0">
      <w:start w:val="1"/>
      <w:numFmt w:val="decimal"/>
      <w:pStyle w:val="26"/>
      <w:lvlText w:val="图%1"/>
      <w:lvlJc w:val="center"/>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5"/>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4"/>
    <w:footnote w:id="5"/>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1AA4"/>
    <w:rsid w:val="00002631"/>
    <w:rsid w:val="000106EA"/>
    <w:rsid w:val="00020B00"/>
    <w:rsid w:val="00033E7F"/>
    <w:rsid w:val="00047887"/>
    <w:rsid w:val="00050287"/>
    <w:rsid w:val="0005244A"/>
    <w:rsid w:val="00060B6D"/>
    <w:rsid w:val="000625C2"/>
    <w:rsid w:val="000674AD"/>
    <w:rsid w:val="00087EA5"/>
    <w:rsid w:val="000905C2"/>
    <w:rsid w:val="00091ECA"/>
    <w:rsid w:val="0009313D"/>
    <w:rsid w:val="000A0103"/>
    <w:rsid w:val="000A0DDE"/>
    <w:rsid w:val="000C0019"/>
    <w:rsid w:val="000C700B"/>
    <w:rsid w:val="000D442F"/>
    <w:rsid w:val="000E0020"/>
    <w:rsid w:val="0010243C"/>
    <w:rsid w:val="0010286F"/>
    <w:rsid w:val="0010537F"/>
    <w:rsid w:val="00105DA1"/>
    <w:rsid w:val="00106C02"/>
    <w:rsid w:val="0012669C"/>
    <w:rsid w:val="0012787D"/>
    <w:rsid w:val="00140474"/>
    <w:rsid w:val="001433D2"/>
    <w:rsid w:val="00150C9A"/>
    <w:rsid w:val="00152FEA"/>
    <w:rsid w:val="00190FB2"/>
    <w:rsid w:val="001A56DB"/>
    <w:rsid w:val="001C2DC1"/>
    <w:rsid w:val="001D1039"/>
    <w:rsid w:val="001D7A5C"/>
    <w:rsid w:val="001F0825"/>
    <w:rsid w:val="00205FA7"/>
    <w:rsid w:val="0022364E"/>
    <w:rsid w:val="0022413D"/>
    <w:rsid w:val="002411DA"/>
    <w:rsid w:val="002474D9"/>
    <w:rsid w:val="0025076F"/>
    <w:rsid w:val="00253543"/>
    <w:rsid w:val="0027380C"/>
    <w:rsid w:val="00276DEE"/>
    <w:rsid w:val="00281524"/>
    <w:rsid w:val="002B0219"/>
    <w:rsid w:val="002B0E98"/>
    <w:rsid w:val="002B16B7"/>
    <w:rsid w:val="002B4BDA"/>
    <w:rsid w:val="002B7165"/>
    <w:rsid w:val="002F26E7"/>
    <w:rsid w:val="002F3F17"/>
    <w:rsid w:val="0030703F"/>
    <w:rsid w:val="00310067"/>
    <w:rsid w:val="00320E0D"/>
    <w:rsid w:val="00321749"/>
    <w:rsid w:val="00321DB0"/>
    <w:rsid w:val="00342502"/>
    <w:rsid w:val="00344424"/>
    <w:rsid w:val="00354F09"/>
    <w:rsid w:val="0037052F"/>
    <w:rsid w:val="00381E68"/>
    <w:rsid w:val="003910BD"/>
    <w:rsid w:val="003A58F0"/>
    <w:rsid w:val="003A6BBE"/>
    <w:rsid w:val="003B4250"/>
    <w:rsid w:val="003C758D"/>
    <w:rsid w:val="003E03CA"/>
    <w:rsid w:val="003E22F4"/>
    <w:rsid w:val="003E766C"/>
    <w:rsid w:val="003F167B"/>
    <w:rsid w:val="00406709"/>
    <w:rsid w:val="00410FC7"/>
    <w:rsid w:val="0041744D"/>
    <w:rsid w:val="004625BF"/>
    <w:rsid w:val="00474292"/>
    <w:rsid w:val="00486D89"/>
    <w:rsid w:val="004901A7"/>
    <w:rsid w:val="004955B2"/>
    <w:rsid w:val="004A2B59"/>
    <w:rsid w:val="004B4B42"/>
    <w:rsid w:val="004C524B"/>
    <w:rsid w:val="004C6FB4"/>
    <w:rsid w:val="004C7EB7"/>
    <w:rsid w:val="004D3818"/>
    <w:rsid w:val="004D5337"/>
    <w:rsid w:val="004E782D"/>
    <w:rsid w:val="004F4173"/>
    <w:rsid w:val="004F4BA9"/>
    <w:rsid w:val="004F546F"/>
    <w:rsid w:val="005068F7"/>
    <w:rsid w:val="00510863"/>
    <w:rsid w:val="00513B4C"/>
    <w:rsid w:val="00553D79"/>
    <w:rsid w:val="0057346B"/>
    <w:rsid w:val="00581C6A"/>
    <w:rsid w:val="005851A2"/>
    <w:rsid w:val="005A3D52"/>
    <w:rsid w:val="005B162C"/>
    <w:rsid w:val="005B4523"/>
    <w:rsid w:val="005F2815"/>
    <w:rsid w:val="005F3786"/>
    <w:rsid w:val="006049BB"/>
    <w:rsid w:val="00641E92"/>
    <w:rsid w:val="00646B03"/>
    <w:rsid w:val="006561C2"/>
    <w:rsid w:val="00676F0D"/>
    <w:rsid w:val="00690945"/>
    <w:rsid w:val="00691A68"/>
    <w:rsid w:val="00692B0B"/>
    <w:rsid w:val="00693C43"/>
    <w:rsid w:val="0069663E"/>
    <w:rsid w:val="006C061D"/>
    <w:rsid w:val="006C18EB"/>
    <w:rsid w:val="006C7320"/>
    <w:rsid w:val="006C75EB"/>
    <w:rsid w:val="006D18BA"/>
    <w:rsid w:val="006E05E6"/>
    <w:rsid w:val="006F2209"/>
    <w:rsid w:val="007005CE"/>
    <w:rsid w:val="007007C1"/>
    <w:rsid w:val="00704D6D"/>
    <w:rsid w:val="007118C2"/>
    <w:rsid w:val="0074477D"/>
    <w:rsid w:val="00752302"/>
    <w:rsid w:val="00752AAF"/>
    <w:rsid w:val="00757737"/>
    <w:rsid w:val="00760549"/>
    <w:rsid w:val="00762E8E"/>
    <w:rsid w:val="007A091C"/>
    <w:rsid w:val="007A2CC9"/>
    <w:rsid w:val="007A6319"/>
    <w:rsid w:val="007A71D4"/>
    <w:rsid w:val="007B04C5"/>
    <w:rsid w:val="007B2A6A"/>
    <w:rsid w:val="007B580C"/>
    <w:rsid w:val="007D7942"/>
    <w:rsid w:val="007E0D50"/>
    <w:rsid w:val="00822D61"/>
    <w:rsid w:val="00827683"/>
    <w:rsid w:val="008342EF"/>
    <w:rsid w:val="008420E8"/>
    <w:rsid w:val="008509AC"/>
    <w:rsid w:val="008743CD"/>
    <w:rsid w:val="0088165D"/>
    <w:rsid w:val="00884C16"/>
    <w:rsid w:val="00891967"/>
    <w:rsid w:val="008B28F9"/>
    <w:rsid w:val="008C0D58"/>
    <w:rsid w:val="008D3173"/>
    <w:rsid w:val="008D4AA9"/>
    <w:rsid w:val="008E0689"/>
    <w:rsid w:val="008E73AE"/>
    <w:rsid w:val="008F27E2"/>
    <w:rsid w:val="008F4B8F"/>
    <w:rsid w:val="009063FE"/>
    <w:rsid w:val="00922408"/>
    <w:rsid w:val="00930350"/>
    <w:rsid w:val="00930C26"/>
    <w:rsid w:val="00935993"/>
    <w:rsid w:val="00937089"/>
    <w:rsid w:val="0094296B"/>
    <w:rsid w:val="009515C1"/>
    <w:rsid w:val="0095166E"/>
    <w:rsid w:val="00964501"/>
    <w:rsid w:val="009668EF"/>
    <w:rsid w:val="00966AFE"/>
    <w:rsid w:val="00972115"/>
    <w:rsid w:val="009818E8"/>
    <w:rsid w:val="009A6FD8"/>
    <w:rsid w:val="009B43B7"/>
    <w:rsid w:val="009C0203"/>
    <w:rsid w:val="009C3AC1"/>
    <w:rsid w:val="009D0E06"/>
    <w:rsid w:val="009D1341"/>
    <w:rsid w:val="009D159E"/>
    <w:rsid w:val="009D2D16"/>
    <w:rsid w:val="009D2E66"/>
    <w:rsid w:val="009D68C4"/>
    <w:rsid w:val="009F7712"/>
    <w:rsid w:val="00A01BB6"/>
    <w:rsid w:val="00A26AD1"/>
    <w:rsid w:val="00A321DA"/>
    <w:rsid w:val="00A37B06"/>
    <w:rsid w:val="00A51AC7"/>
    <w:rsid w:val="00A51F9D"/>
    <w:rsid w:val="00A604D5"/>
    <w:rsid w:val="00A77231"/>
    <w:rsid w:val="00AC11C1"/>
    <w:rsid w:val="00AD6902"/>
    <w:rsid w:val="00AE7BA3"/>
    <w:rsid w:val="00AF4022"/>
    <w:rsid w:val="00B2687E"/>
    <w:rsid w:val="00B45009"/>
    <w:rsid w:val="00B53457"/>
    <w:rsid w:val="00B55263"/>
    <w:rsid w:val="00B578A1"/>
    <w:rsid w:val="00B65605"/>
    <w:rsid w:val="00B66A71"/>
    <w:rsid w:val="00B7027E"/>
    <w:rsid w:val="00B7214D"/>
    <w:rsid w:val="00B83322"/>
    <w:rsid w:val="00BA265C"/>
    <w:rsid w:val="00BA4BC7"/>
    <w:rsid w:val="00BB4905"/>
    <w:rsid w:val="00BC103E"/>
    <w:rsid w:val="00BD126C"/>
    <w:rsid w:val="00BE716F"/>
    <w:rsid w:val="00BF2D0F"/>
    <w:rsid w:val="00C00DEC"/>
    <w:rsid w:val="00C04AC1"/>
    <w:rsid w:val="00C057C8"/>
    <w:rsid w:val="00C062BB"/>
    <w:rsid w:val="00C127CD"/>
    <w:rsid w:val="00C24428"/>
    <w:rsid w:val="00C336EF"/>
    <w:rsid w:val="00C37B18"/>
    <w:rsid w:val="00C62880"/>
    <w:rsid w:val="00C74F28"/>
    <w:rsid w:val="00CA0E13"/>
    <w:rsid w:val="00CA3DFF"/>
    <w:rsid w:val="00CB18EE"/>
    <w:rsid w:val="00CD0701"/>
    <w:rsid w:val="00CD5273"/>
    <w:rsid w:val="00CD75F2"/>
    <w:rsid w:val="00CE67EF"/>
    <w:rsid w:val="00CE7AEF"/>
    <w:rsid w:val="00CF0390"/>
    <w:rsid w:val="00D0686E"/>
    <w:rsid w:val="00D07C44"/>
    <w:rsid w:val="00D41AA4"/>
    <w:rsid w:val="00D60561"/>
    <w:rsid w:val="00D70BC5"/>
    <w:rsid w:val="00D70CDB"/>
    <w:rsid w:val="00D728A9"/>
    <w:rsid w:val="00D75020"/>
    <w:rsid w:val="00D7558C"/>
    <w:rsid w:val="00D91989"/>
    <w:rsid w:val="00DA1C89"/>
    <w:rsid w:val="00DA3D52"/>
    <w:rsid w:val="00DB19A1"/>
    <w:rsid w:val="00DB56AA"/>
    <w:rsid w:val="00DB6359"/>
    <w:rsid w:val="00DD6070"/>
    <w:rsid w:val="00DE7704"/>
    <w:rsid w:val="00E136FF"/>
    <w:rsid w:val="00E2277E"/>
    <w:rsid w:val="00E567BE"/>
    <w:rsid w:val="00E678D0"/>
    <w:rsid w:val="00E87692"/>
    <w:rsid w:val="00E92EDD"/>
    <w:rsid w:val="00EA13EE"/>
    <w:rsid w:val="00EA60BF"/>
    <w:rsid w:val="00ED4343"/>
    <w:rsid w:val="00ED6200"/>
    <w:rsid w:val="00EE09D4"/>
    <w:rsid w:val="00EE4B10"/>
    <w:rsid w:val="00F06E7C"/>
    <w:rsid w:val="00F07BD0"/>
    <w:rsid w:val="00F07D10"/>
    <w:rsid w:val="00F25808"/>
    <w:rsid w:val="00F273FE"/>
    <w:rsid w:val="00F35455"/>
    <w:rsid w:val="00F36D0E"/>
    <w:rsid w:val="00F43751"/>
    <w:rsid w:val="00F64FEE"/>
    <w:rsid w:val="00F706D9"/>
    <w:rsid w:val="00F77B07"/>
    <w:rsid w:val="00F80B2C"/>
    <w:rsid w:val="00F83CB3"/>
    <w:rsid w:val="00F90621"/>
    <w:rsid w:val="00FA0939"/>
    <w:rsid w:val="00FB4106"/>
    <w:rsid w:val="00FB68B5"/>
    <w:rsid w:val="00FB7189"/>
    <w:rsid w:val="00FC36CF"/>
    <w:rsid w:val="00FC5645"/>
    <w:rsid w:val="49EF54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qFormat="1" w:uiPriority="39" w:semiHidden="0"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560" w:lineRule="exact"/>
      <w:ind w:firstLine="200" w:firstLineChars="200"/>
      <w:jc w:val="both"/>
    </w:pPr>
    <w:rPr>
      <w:rFonts w:ascii="Times New Roman" w:hAnsi="Times New Roman" w:eastAsia="仿宋_GB2312" w:cstheme="minorBidi"/>
      <w:kern w:val="2"/>
      <w:sz w:val="32"/>
      <w:szCs w:val="22"/>
      <w:lang w:val="en-US" w:eastAsia="zh-CN" w:bidi="ar-SA"/>
    </w:rPr>
  </w:style>
  <w:style w:type="paragraph" w:styleId="2">
    <w:name w:val="heading 1"/>
    <w:next w:val="1"/>
    <w:link w:val="23"/>
    <w:autoRedefine/>
    <w:qFormat/>
    <w:uiPriority w:val="9"/>
    <w:pPr>
      <w:keepNext/>
      <w:keepLines/>
      <w:spacing w:line="600" w:lineRule="exact"/>
      <w:ind w:firstLine="641"/>
      <w:jc w:val="center"/>
      <w:outlineLvl w:val="0"/>
    </w:pPr>
    <w:rPr>
      <w:rFonts w:ascii="Times New Roman" w:hAnsi="Times New Roman" w:eastAsia="方正小标宋简体" w:cstheme="minorBidi"/>
      <w:bCs/>
      <w:kern w:val="44"/>
      <w:sz w:val="44"/>
      <w:szCs w:val="44"/>
      <w:lang w:val="en-US" w:eastAsia="zh-CN" w:bidi="ar-SA"/>
    </w:rPr>
  </w:style>
  <w:style w:type="paragraph" w:styleId="3">
    <w:name w:val="heading 2"/>
    <w:basedOn w:val="1"/>
    <w:next w:val="1"/>
    <w:link w:val="25"/>
    <w:unhideWhenUsed/>
    <w:qFormat/>
    <w:uiPriority w:val="9"/>
    <w:pPr>
      <w:keepNext/>
      <w:keepLines/>
      <w:outlineLvl w:val="1"/>
    </w:pPr>
    <w:rPr>
      <w:rFonts w:eastAsia="黑体" w:cstheme="majorBidi"/>
      <w:bCs/>
      <w:szCs w:val="32"/>
    </w:rPr>
  </w:style>
  <w:style w:type="paragraph" w:styleId="4">
    <w:name w:val="heading 3"/>
    <w:basedOn w:val="1"/>
    <w:next w:val="1"/>
    <w:link w:val="35"/>
    <w:semiHidden/>
    <w:unhideWhenUsed/>
    <w:qFormat/>
    <w:uiPriority w:val="9"/>
    <w:pPr>
      <w:keepNext/>
      <w:keepLines/>
      <w:spacing w:before="260" w:after="260" w:line="416" w:lineRule="atLeast"/>
      <w:outlineLvl w:val="2"/>
    </w:pPr>
    <w:rPr>
      <w:b/>
      <w:bCs/>
      <w:szCs w:val="32"/>
    </w:rPr>
  </w:style>
  <w:style w:type="paragraph" w:styleId="5">
    <w:name w:val="heading 4"/>
    <w:basedOn w:val="1"/>
    <w:next w:val="1"/>
    <w:link w:val="37"/>
    <w:semiHidden/>
    <w:unhideWhenUsed/>
    <w:qFormat/>
    <w:uiPriority w:val="9"/>
    <w:pPr>
      <w:keepNext/>
      <w:keepLines/>
      <w:spacing w:before="280" w:after="290" w:line="376" w:lineRule="atLeast"/>
      <w:outlineLvl w:val="3"/>
    </w:pPr>
    <w:rPr>
      <w:rFonts w:asciiTheme="majorHAnsi" w:hAnsiTheme="majorHAnsi" w:eastAsiaTheme="majorEastAsia" w:cstheme="majorBidi"/>
      <w:b/>
      <w:bCs/>
      <w:sz w:val="28"/>
      <w:szCs w:val="28"/>
    </w:rPr>
  </w:style>
  <w:style w:type="character" w:default="1" w:styleId="17">
    <w:name w:val="Default Paragraph Font"/>
    <w:semiHidden/>
    <w:unhideWhenUsed/>
    <w:uiPriority w:val="1"/>
  </w:style>
  <w:style w:type="table" w:default="1" w:styleId="16">
    <w:name w:val="Normal Table"/>
    <w:semiHidden/>
    <w:unhideWhenUsed/>
    <w:uiPriority w:val="99"/>
    <w:tblPr>
      <w:tblCellMar>
        <w:top w:w="0" w:type="dxa"/>
        <w:left w:w="108" w:type="dxa"/>
        <w:bottom w:w="0" w:type="dxa"/>
        <w:right w:w="108" w:type="dxa"/>
      </w:tblCellMar>
    </w:tblPr>
  </w:style>
  <w:style w:type="paragraph" w:styleId="6">
    <w:name w:val="Body Text"/>
    <w:basedOn w:val="1"/>
    <w:next w:val="1"/>
    <w:link w:val="24"/>
    <w:semiHidden/>
    <w:qFormat/>
    <w:uiPriority w:val="0"/>
    <w:pPr>
      <w:autoSpaceDE w:val="0"/>
      <w:autoSpaceDN w:val="0"/>
      <w:adjustRightInd w:val="0"/>
      <w:snapToGrid w:val="0"/>
      <w:textAlignment w:val="baseline"/>
    </w:pPr>
    <w:rPr>
      <w:rFonts w:cs="Arial"/>
      <w:snapToGrid w:val="0"/>
      <w:color w:val="000000"/>
      <w:kern w:val="0"/>
      <w:szCs w:val="21"/>
      <w:lang w:eastAsia="en-US"/>
    </w:rPr>
  </w:style>
  <w:style w:type="paragraph" w:styleId="7">
    <w:name w:val="toc 3"/>
    <w:basedOn w:val="1"/>
    <w:next w:val="1"/>
    <w:autoRedefine/>
    <w:unhideWhenUsed/>
    <w:uiPriority w:val="39"/>
    <w:rPr>
      <w:rFonts w:eastAsia="宋体"/>
      <w:sz w:val="24"/>
    </w:rPr>
  </w:style>
  <w:style w:type="paragraph" w:styleId="8">
    <w:name w:val="endnote text"/>
    <w:basedOn w:val="1"/>
    <w:link w:val="34"/>
    <w:semiHidden/>
    <w:unhideWhenUsed/>
    <w:qFormat/>
    <w:uiPriority w:val="99"/>
    <w:pPr>
      <w:snapToGrid w:val="0"/>
      <w:jc w:val="left"/>
    </w:pPr>
  </w:style>
  <w:style w:type="paragraph" w:styleId="9">
    <w:name w:val="Balloon Text"/>
    <w:basedOn w:val="1"/>
    <w:link w:val="29"/>
    <w:semiHidden/>
    <w:unhideWhenUsed/>
    <w:uiPriority w:val="99"/>
    <w:pPr>
      <w:spacing w:line="240" w:lineRule="auto"/>
    </w:pPr>
    <w:rPr>
      <w:sz w:val="18"/>
      <w:szCs w:val="18"/>
    </w:rPr>
  </w:style>
  <w:style w:type="paragraph" w:styleId="10">
    <w:name w:val="footer"/>
    <w:basedOn w:val="1"/>
    <w:link w:val="22"/>
    <w:unhideWhenUsed/>
    <w:qFormat/>
    <w:uiPriority w:val="99"/>
    <w:pPr>
      <w:tabs>
        <w:tab w:val="center" w:pos="4153"/>
        <w:tab w:val="right" w:pos="8306"/>
      </w:tabs>
      <w:snapToGrid w:val="0"/>
      <w:spacing w:line="240" w:lineRule="atLeast"/>
      <w:jc w:val="left"/>
    </w:pPr>
    <w:rPr>
      <w:rFonts w:asciiTheme="minorHAnsi" w:hAnsiTheme="minorHAnsi" w:eastAsiaTheme="minorEastAsia"/>
      <w:sz w:val="18"/>
      <w:szCs w:val="18"/>
    </w:rPr>
  </w:style>
  <w:style w:type="paragraph" w:styleId="11">
    <w:name w:val="toc 1"/>
    <w:basedOn w:val="1"/>
    <w:next w:val="1"/>
    <w:autoRedefine/>
    <w:unhideWhenUsed/>
    <w:uiPriority w:val="39"/>
    <w:pPr>
      <w:ind w:firstLine="0" w:firstLineChars="0"/>
    </w:pPr>
    <w:rPr>
      <w:rFonts w:eastAsia="黑体"/>
      <w:sz w:val="24"/>
    </w:rPr>
  </w:style>
  <w:style w:type="paragraph" w:styleId="12">
    <w:name w:val="Subtitle"/>
    <w:basedOn w:val="1"/>
    <w:next w:val="1"/>
    <w:link w:val="28"/>
    <w:qFormat/>
    <w:uiPriority w:val="11"/>
    <w:pPr>
      <w:outlineLvl w:val="1"/>
    </w:pPr>
    <w:rPr>
      <w:rFonts w:cstheme="majorBidi"/>
      <w:b/>
      <w:bCs/>
      <w:kern w:val="28"/>
      <w:szCs w:val="32"/>
    </w:rPr>
  </w:style>
  <w:style w:type="paragraph" w:styleId="13">
    <w:name w:val="footnote text"/>
    <w:basedOn w:val="1"/>
    <w:link w:val="33"/>
    <w:semiHidden/>
    <w:unhideWhenUsed/>
    <w:uiPriority w:val="99"/>
    <w:pPr>
      <w:snapToGrid w:val="0"/>
      <w:jc w:val="left"/>
    </w:pPr>
    <w:rPr>
      <w:sz w:val="18"/>
      <w:szCs w:val="18"/>
    </w:rPr>
  </w:style>
  <w:style w:type="paragraph" w:styleId="14">
    <w:name w:val="toc 2"/>
    <w:basedOn w:val="1"/>
    <w:next w:val="1"/>
    <w:autoRedefine/>
    <w:unhideWhenUsed/>
    <w:qFormat/>
    <w:uiPriority w:val="39"/>
    <w:pPr>
      <w:tabs>
        <w:tab w:val="right" w:leader="dot" w:pos="8437"/>
      </w:tabs>
      <w:ind w:firstLine="0" w:firstLineChars="0"/>
    </w:pPr>
    <w:rPr>
      <w:rFonts w:eastAsia="宋体"/>
      <w:sz w:val="24"/>
    </w:rPr>
  </w:style>
  <w:style w:type="paragraph" w:styleId="15">
    <w:name w:val="Title"/>
    <w:basedOn w:val="1"/>
    <w:next w:val="1"/>
    <w:link w:val="27"/>
    <w:qFormat/>
    <w:uiPriority w:val="10"/>
    <w:pPr>
      <w:outlineLvl w:val="2"/>
    </w:pPr>
    <w:rPr>
      <w:rFonts w:eastAsia="楷体_GB2312" w:cstheme="majorBidi"/>
      <w:b/>
      <w:bCs/>
      <w:szCs w:val="32"/>
    </w:rPr>
  </w:style>
  <w:style w:type="character" w:styleId="18">
    <w:name w:val="Strong"/>
    <w:basedOn w:val="17"/>
    <w:qFormat/>
    <w:uiPriority w:val="0"/>
    <w:rPr>
      <w:b/>
    </w:rPr>
  </w:style>
  <w:style w:type="character" w:styleId="19">
    <w:name w:val="endnote reference"/>
    <w:basedOn w:val="17"/>
    <w:semiHidden/>
    <w:unhideWhenUsed/>
    <w:uiPriority w:val="99"/>
    <w:rPr>
      <w:vertAlign w:val="superscript"/>
    </w:rPr>
  </w:style>
  <w:style w:type="character" w:styleId="20">
    <w:name w:val="Hyperlink"/>
    <w:basedOn w:val="17"/>
    <w:unhideWhenUsed/>
    <w:uiPriority w:val="99"/>
    <w:rPr>
      <w:color w:val="0000FF" w:themeColor="hyperlink"/>
      <w:u w:val="single"/>
      <w14:textFill>
        <w14:solidFill>
          <w14:schemeClr w14:val="hlink"/>
        </w14:solidFill>
      </w14:textFill>
    </w:rPr>
  </w:style>
  <w:style w:type="character" w:styleId="21">
    <w:name w:val="footnote reference"/>
    <w:basedOn w:val="17"/>
    <w:semiHidden/>
    <w:unhideWhenUsed/>
    <w:uiPriority w:val="99"/>
    <w:rPr>
      <w:vertAlign w:val="superscript"/>
    </w:rPr>
  </w:style>
  <w:style w:type="character" w:customStyle="1" w:styleId="22">
    <w:name w:val="页脚 Char"/>
    <w:basedOn w:val="17"/>
    <w:link w:val="10"/>
    <w:qFormat/>
    <w:uiPriority w:val="99"/>
    <w:rPr>
      <w:sz w:val="18"/>
      <w:szCs w:val="18"/>
    </w:rPr>
  </w:style>
  <w:style w:type="character" w:customStyle="1" w:styleId="23">
    <w:name w:val="标题 1 Char"/>
    <w:basedOn w:val="17"/>
    <w:link w:val="2"/>
    <w:uiPriority w:val="9"/>
    <w:rPr>
      <w:rFonts w:ascii="Times New Roman" w:hAnsi="Times New Roman" w:eastAsia="方正小标宋简体"/>
      <w:bCs/>
      <w:kern w:val="44"/>
      <w:sz w:val="44"/>
      <w:szCs w:val="44"/>
    </w:rPr>
  </w:style>
  <w:style w:type="character" w:customStyle="1" w:styleId="24">
    <w:name w:val="正文文本 Char"/>
    <w:basedOn w:val="17"/>
    <w:link w:val="6"/>
    <w:semiHidden/>
    <w:uiPriority w:val="0"/>
    <w:rPr>
      <w:rFonts w:ascii="Times New Roman" w:hAnsi="Times New Roman" w:eastAsia="仿宋_GB2312" w:cs="Arial"/>
      <w:snapToGrid w:val="0"/>
      <w:color w:val="000000"/>
      <w:kern w:val="0"/>
      <w:sz w:val="32"/>
      <w:szCs w:val="21"/>
      <w:lang w:eastAsia="en-US"/>
    </w:rPr>
  </w:style>
  <w:style w:type="character" w:customStyle="1" w:styleId="25">
    <w:name w:val="标题 2 Char"/>
    <w:basedOn w:val="17"/>
    <w:link w:val="3"/>
    <w:uiPriority w:val="9"/>
    <w:rPr>
      <w:rFonts w:ascii="Times New Roman" w:hAnsi="Times New Roman" w:eastAsia="黑体" w:cstheme="majorBidi"/>
      <w:bCs/>
      <w:sz w:val="32"/>
      <w:szCs w:val="32"/>
    </w:rPr>
  </w:style>
  <w:style w:type="paragraph" w:styleId="26">
    <w:name w:val="No Spacing"/>
    <w:qFormat/>
    <w:uiPriority w:val="1"/>
    <w:pPr>
      <w:numPr>
        <w:ilvl w:val="0"/>
        <w:numId w:val="1"/>
      </w:numPr>
      <w:spacing w:line="240" w:lineRule="auto"/>
      <w:jc w:val="center"/>
    </w:pPr>
    <w:rPr>
      <w:rFonts w:ascii="Times New Roman" w:hAnsi="Times New Roman" w:eastAsia="宋体" w:cstheme="minorBidi"/>
      <w:kern w:val="2"/>
      <w:sz w:val="28"/>
      <w:szCs w:val="22"/>
      <w:lang w:val="en-US" w:eastAsia="zh-CN" w:bidi="ar-SA"/>
    </w:rPr>
  </w:style>
  <w:style w:type="character" w:customStyle="1" w:styleId="27">
    <w:name w:val="标题 Char"/>
    <w:basedOn w:val="17"/>
    <w:link w:val="15"/>
    <w:uiPriority w:val="10"/>
    <w:rPr>
      <w:rFonts w:ascii="Times New Roman" w:hAnsi="Times New Roman" w:eastAsia="楷体_GB2312" w:cstheme="majorBidi"/>
      <w:b/>
      <w:bCs/>
      <w:sz w:val="32"/>
      <w:szCs w:val="32"/>
    </w:rPr>
  </w:style>
  <w:style w:type="character" w:customStyle="1" w:styleId="28">
    <w:name w:val="副标题 Char"/>
    <w:basedOn w:val="17"/>
    <w:link w:val="12"/>
    <w:uiPriority w:val="11"/>
    <w:rPr>
      <w:rFonts w:ascii="Times New Roman" w:hAnsi="Times New Roman" w:eastAsia="仿宋_GB2312" w:cstheme="majorBidi"/>
      <w:b/>
      <w:bCs/>
      <w:kern w:val="28"/>
      <w:sz w:val="32"/>
      <w:szCs w:val="32"/>
    </w:rPr>
  </w:style>
  <w:style w:type="character" w:customStyle="1" w:styleId="29">
    <w:name w:val="批注框文本 Char"/>
    <w:basedOn w:val="17"/>
    <w:link w:val="9"/>
    <w:semiHidden/>
    <w:uiPriority w:val="99"/>
    <w:rPr>
      <w:rFonts w:ascii="Times New Roman" w:hAnsi="Times New Roman" w:eastAsia="仿宋_GB2312"/>
      <w:sz w:val="18"/>
      <w:szCs w:val="18"/>
    </w:rPr>
  </w:style>
  <w:style w:type="character" w:customStyle="1" w:styleId="30">
    <w:name w:val="fontstyle01"/>
    <w:basedOn w:val="17"/>
    <w:uiPriority w:val="0"/>
    <w:rPr>
      <w:rFonts w:hint="default" w:ascii="CIDFont+F5" w:hAnsi="CIDFont+F5"/>
      <w:color w:val="000000"/>
      <w:sz w:val="32"/>
      <w:szCs w:val="32"/>
    </w:rPr>
  </w:style>
  <w:style w:type="character" w:customStyle="1" w:styleId="31">
    <w:name w:val="fontstyle11"/>
    <w:basedOn w:val="17"/>
    <w:uiPriority w:val="0"/>
    <w:rPr>
      <w:rFonts w:hint="default" w:ascii="CIDFont+F2" w:hAnsi="CIDFont+F2"/>
      <w:color w:val="000000"/>
      <w:sz w:val="32"/>
      <w:szCs w:val="32"/>
    </w:rPr>
  </w:style>
  <w:style w:type="character" w:customStyle="1" w:styleId="32">
    <w:name w:val="fontstyle21"/>
    <w:basedOn w:val="17"/>
    <w:uiPriority w:val="0"/>
    <w:rPr>
      <w:rFonts w:hint="default" w:ascii="CIDFont+F2" w:hAnsi="CIDFont+F2"/>
      <w:color w:val="000000"/>
      <w:sz w:val="32"/>
      <w:szCs w:val="32"/>
    </w:rPr>
  </w:style>
  <w:style w:type="character" w:customStyle="1" w:styleId="33">
    <w:name w:val="脚注文本 Char"/>
    <w:basedOn w:val="17"/>
    <w:link w:val="13"/>
    <w:semiHidden/>
    <w:qFormat/>
    <w:uiPriority w:val="99"/>
    <w:rPr>
      <w:rFonts w:ascii="Times New Roman" w:hAnsi="Times New Roman" w:eastAsia="仿宋_GB2312"/>
      <w:sz w:val="18"/>
      <w:szCs w:val="18"/>
    </w:rPr>
  </w:style>
  <w:style w:type="character" w:customStyle="1" w:styleId="34">
    <w:name w:val="尾注文本 Char"/>
    <w:basedOn w:val="17"/>
    <w:link w:val="8"/>
    <w:semiHidden/>
    <w:uiPriority w:val="99"/>
    <w:rPr>
      <w:rFonts w:ascii="Times New Roman" w:hAnsi="Times New Roman" w:eastAsia="仿宋_GB2312"/>
      <w:sz w:val="32"/>
    </w:rPr>
  </w:style>
  <w:style w:type="character" w:customStyle="1" w:styleId="35">
    <w:name w:val="标题 3 Char"/>
    <w:basedOn w:val="17"/>
    <w:link w:val="4"/>
    <w:semiHidden/>
    <w:uiPriority w:val="9"/>
    <w:rPr>
      <w:rFonts w:ascii="Times New Roman" w:hAnsi="Times New Roman" w:eastAsia="仿宋_GB2312"/>
      <w:b/>
      <w:bCs/>
      <w:sz w:val="32"/>
      <w:szCs w:val="32"/>
    </w:rPr>
  </w:style>
  <w:style w:type="paragraph" w:customStyle="1" w:styleId="36">
    <w:name w:val="样式1"/>
    <w:basedOn w:val="1"/>
    <w:link w:val="38"/>
    <w:uiPriority w:val="0"/>
    <w:pPr>
      <w:ind w:firstLine="640"/>
    </w:pPr>
  </w:style>
  <w:style w:type="character" w:customStyle="1" w:styleId="37">
    <w:name w:val="标题 4 Char"/>
    <w:basedOn w:val="17"/>
    <w:link w:val="5"/>
    <w:semiHidden/>
    <w:uiPriority w:val="9"/>
    <w:rPr>
      <w:rFonts w:asciiTheme="majorHAnsi" w:hAnsiTheme="majorHAnsi" w:eastAsiaTheme="majorEastAsia" w:cstheme="majorBidi"/>
      <w:b/>
      <w:bCs/>
      <w:sz w:val="28"/>
      <w:szCs w:val="28"/>
    </w:rPr>
  </w:style>
  <w:style w:type="character" w:customStyle="1" w:styleId="38">
    <w:name w:val="样式1 Char"/>
    <w:basedOn w:val="17"/>
    <w:link w:val="36"/>
    <w:qFormat/>
    <w:uiPriority w:val="0"/>
    <w:rPr>
      <w:rFonts w:ascii="Times New Roman" w:hAnsi="Times New Roman" w:eastAsia="仿宋_GB2312"/>
      <w:sz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numbering" Target="numbering.xml"/><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43793D-55C1-4CDB-A74D-B9A04983328D}">
  <ds:schemaRefs/>
</ds:datastoreItem>
</file>

<file path=docProps/app.xml><?xml version="1.0" encoding="utf-8"?>
<Properties xmlns="http://schemas.openxmlformats.org/officeDocument/2006/extended-properties" xmlns:vt="http://schemas.openxmlformats.org/officeDocument/2006/docPropsVTypes">
  <Template>Normal</Template>
  <Pages>18</Pages>
  <Words>1345</Words>
  <Characters>1406</Characters>
  <Lines>54</Lines>
  <Paragraphs>15</Paragraphs>
  <TotalTime>5</TotalTime>
  <ScaleCrop>false</ScaleCrop>
  <LinksUpToDate>false</LinksUpToDate>
  <CharactersWithSpaces>1427</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2023-11-23T01:32:00Z</dcterms:created>
  <dc:creator>802828</dc:creator>
  <cp:lastModifiedBy>郭峻铭</cp:lastModifiedBy>
  <cp:lastPrinted>2023-11-01T08:10:00Z</cp:lastPrinted>
  <dcterms:modified xsi:type="dcterms:W3CDTF">2026-05-20T08:16:27Z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eyJoZGlkIjoiYWRmYTA0NWMzYTA1ZDhjYTg2ZmYyZGM4NDVkYzYyNmUiLCJ1c2VySWQiOiI0MzczNzk4MzYifQ==</vt:lpwstr>
  </property>
  <property fmtid="{D5CDD505-2E9C-101B-9397-08002B2CF9AE}" pid="3" name="KSOProductBuildVer">
    <vt:lpwstr>2052-12.1.0.26375</vt:lpwstr>
  </property>
  <property fmtid="{D5CDD505-2E9C-101B-9397-08002B2CF9AE}" pid="4" name="ICV">
    <vt:lpwstr>7EF6D5660FB244B78EE50180BC8515F1_12</vt:lpwstr>
  </property>
</Properties>
</file>