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1043D6">
        <w:rPr>
          <w:rFonts w:ascii="方正小标宋简体" w:eastAsia="方正小标宋简体" w:hAnsi="Times New Roman" w:cs="Times New Roman" w:hint="eastAsia"/>
          <w:sz w:val="44"/>
          <w:szCs w:val="44"/>
        </w:rPr>
        <w:t>4</w:t>
      </w:r>
      <w:r w:rsidR="00555A70">
        <w:rPr>
          <w:rFonts w:ascii="方正小标宋简体" w:eastAsia="方正小标宋简体" w:hAnsi="Times New Roman" w:cs="Times New Roman" w:hint="eastAsia"/>
          <w:sz w:val="44"/>
          <w:szCs w:val="44"/>
        </w:rPr>
        <w:t>2</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1043D6">
        <w:rPr>
          <w:rFonts w:ascii="Times New Roman" w:hAnsi="Times New Roman" w:cs="Times New Roman" w:hint="eastAsia"/>
          <w:szCs w:val="32"/>
        </w:rPr>
        <w:t>4</w:t>
      </w:r>
      <w:r w:rsidR="00555A70">
        <w:rPr>
          <w:rFonts w:ascii="Times New Roman" w:hAnsi="Times New Roman" w:cs="Times New Roman" w:hint="eastAsia"/>
          <w:szCs w:val="32"/>
        </w:rPr>
        <w:t>2</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B34351">
        <w:rPr>
          <w:rFonts w:ascii="Times New Roman" w:hAnsi="Times New Roman" w:cs="Times New Roman" w:hint="eastAsia"/>
          <w:szCs w:val="32"/>
        </w:rPr>
        <w:t>5</w:t>
      </w:r>
      <w:r w:rsidR="000E19C3" w:rsidRPr="00590140">
        <w:rPr>
          <w:rFonts w:ascii="Times New Roman" w:hAnsi="Times New Roman" w:cs="Times New Roman"/>
          <w:szCs w:val="32"/>
        </w:rPr>
        <w:t>年</w:t>
      </w:r>
      <w:r w:rsidR="007B36BC">
        <w:rPr>
          <w:rFonts w:ascii="Times New Roman" w:hAnsi="Times New Roman" w:cs="Times New Roman" w:hint="eastAsia"/>
          <w:szCs w:val="32"/>
        </w:rPr>
        <w:t>1</w:t>
      </w:r>
      <w:r w:rsidR="000E19C3" w:rsidRPr="00590140">
        <w:rPr>
          <w:rFonts w:ascii="Times New Roman" w:hAnsi="Times New Roman" w:cs="Times New Roman"/>
          <w:szCs w:val="32"/>
        </w:rPr>
        <w:t>月</w:t>
      </w:r>
      <w:r w:rsidR="007B36BC">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7B36BC">
        <w:rPr>
          <w:rFonts w:ascii="Times New Roman" w:hAnsi="Times New Roman" w:cs="Times New Roman" w:hint="eastAsia"/>
          <w:szCs w:val="32"/>
        </w:rPr>
        <w:t>1</w:t>
      </w:r>
      <w:r w:rsidR="000E19C3" w:rsidRPr="00590140">
        <w:rPr>
          <w:rFonts w:ascii="Times New Roman" w:hAnsi="Times New Roman" w:cs="Times New Roman"/>
          <w:szCs w:val="32"/>
        </w:rPr>
        <w:t>月</w:t>
      </w:r>
      <w:r w:rsidR="00B34351">
        <w:rPr>
          <w:rFonts w:ascii="Times New Roman" w:hAnsi="Times New Roman" w:cs="Times New Roman" w:hint="eastAsia"/>
          <w:szCs w:val="32"/>
        </w:rPr>
        <w:t>1</w:t>
      </w:r>
      <w:r w:rsidR="007B36BC">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555A70">
        <w:rPr>
          <w:rFonts w:ascii="Times New Roman" w:hAnsi="Times New Roman" w:cs="Times New Roman" w:hint="eastAsia"/>
          <w:b/>
          <w:szCs w:val="32"/>
        </w:rPr>
        <w:t>42</w:t>
      </w:r>
      <w:r w:rsidRPr="009D3BC2">
        <w:rPr>
          <w:rFonts w:ascii="Times New Roman" w:hAnsi="Times New Roman" w:cs="Times New Roman"/>
          <w:b/>
          <w:szCs w:val="32"/>
        </w:rPr>
        <w:t>：</w:t>
      </w:r>
      <w:r w:rsidR="00555A70">
        <w:rPr>
          <w:rFonts w:ascii="Times New Roman" w:hAnsi="Times New Roman" w:cs="Times New Roman" w:hint="eastAsia"/>
        </w:rPr>
        <w:t>宁夏恒有能源化工科技有限公司芳构化催化剂再生装置尾气未经治理直排外环境</w:t>
      </w:r>
      <w:r w:rsidR="00555A70" w:rsidRPr="005816F0">
        <w:rPr>
          <w:rFonts w:ascii="Times New Roman" w:hAnsi="Times New Roman" w:cs="Times New Roman"/>
        </w:rPr>
        <w:t>。</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555A70">
        <w:rPr>
          <w:rFonts w:ascii="Times New Roman" w:hAnsi="Times New Roman" w:hint="eastAsia"/>
          <w:szCs w:val="32"/>
        </w:rPr>
        <w:t>对芳构化催化剂再生装置尾气进行收集治理</w:t>
      </w:r>
      <w:r w:rsidR="00555A70" w:rsidRPr="00C45039">
        <w:rPr>
          <w:rFonts w:ascii="Times New Roman" w:hAnsi="Times New Roman"/>
          <w:szCs w:val="32"/>
        </w:rPr>
        <w:t>。</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555A70" w:rsidRPr="00C45039" w:rsidRDefault="00555A70" w:rsidP="00555A70">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责令</w:t>
      </w:r>
      <w:r>
        <w:rPr>
          <w:rFonts w:ascii="Times New Roman" w:hAnsi="Times New Roman" w:hint="eastAsia"/>
          <w:szCs w:val="32"/>
        </w:rPr>
        <w:t>企业将芳构化催化剂再生装置尾气并入芳构化加热炉进行处理，加强自行监测，确保污染物达标排放。</w:t>
      </w:r>
    </w:p>
    <w:p w:rsidR="00590140" w:rsidRDefault="00555A70" w:rsidP="00555A70">
      <w:pPr>
        <w:ind w:firstLineChars="200" w:firstLine="640"/>
        <w:rPr>
          <w:rFonts w:ascii="Times New Roman" w:hAnsi="Times New Roman"/>
          <w:bCs/>
          <w:szCs w:val="32"/>
        </w:rPr>
      </w:pPr>
      <w:r w:rsidRPr="00C45039">
        <w:rPr>
          <w:rFonts w:ascii="Times New Roman" w:hAnsi="Times New Roman"/>
          <w:szCs w:val="32"/>
        </w:rPr>
        <w:t>2.</w:t>
      </w:r>
      <w:r>
        <w:rPr>
          <w:rFonts w:ascii="Times New Roman" w:hAnsi="Times New Roman" w:hint="eastAsia"/>
          <w:szCs w:val="32"/>
        </w:rPr>
        <w:t>加强环境执法监管，严格控制污染物无组织排放。</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B34351" w:rsidP="00B34351">
      <w:pPr>
        <w:ind w:firstLineChars="200" w:firstLine="643"/>
        <w:rPr>
          <w:rFonts w:ascii="Times New Roman" w:hAnsi="Times New Roman" w:cs="Times New Roman"/>
          <w:szCs w:val="32"/>
        </w:rPr>
      </w:pPr>
      <w:r w:rsidRPr="00ED6A96">
        <w:rPr>
          <w:rFonts w:ascii="Times New Roman" w:hAnsi="Times New Roman" w:cs="Times New Roman"/>
          <w:b/>
        </w:rPr>
        <w:t>一是</w:t>
      </w:r>
      <w:r w:rsidRPr="00ED6A96">
        <w:rPr>
          <w:rFonts w:ascii="Times New Roman" w:hAnsi="Times New Roman" w:cs="Times New Roman" w:hint="eastAsia"/>
        </w:rPr>
        <w:t>宁夏恒有能源化工科技有限公司将芳构化催化剂再生装置尾气通过管道收集引入芳构化加热炉中处理，</w:t>
      </w:r>
      <w:r>
        <w:rPr>
          <w:rFonts w:ascii="Times New Roman" w:hAnsi="Times New Roman" w:cs="Times New Roman" w:hint="eastAsia"/>
        </w:rPr>
        <w:t>企业委托宁夏盛世绿源环境检测有限责任公司</w:t>
      </w:r>
      <w:r w:rsidRPr="00ED6A96">
        <w:rPr>
          <w:rFonts w:ascii="Times New Roman" w:hAnsi="Times New Roman" w:cs="Times New Roman" w:hint="eastAsia"/>
        </w:rPr>
        <w:t>开展</w:t>
      </w:r>
      <w:r>
        <w:rPr>
          <w:rFonts w:ascii="Times New Roman" w:hAnsi="Times New Roman" w:cs="Times New Roman" w:hint="eastAsia"/>
        </w:rPr>
        <w:t>芳构化加热炉</w:t>
      </w:r>
      <w:r w:rsidRPr="00ED6A96">
        <w:rPr>
          <w:rFonts w:ascii="Times New Roman" w:hAnsi="Times New Roman" w:cs="Times New Roman" w:hint="eastAsia"/>
        </w:rPr>
        <w:t>自行监测，</w:t>
      </w:r>
      <w:r>
        <w:rPr>
          <w:rFonts w:ascii="Times New Roman" w:hAnsi="Times New Roman" w:cs="Times New Roman" w:hint="eastAsia"/>
        </w:rPr>
        <w:t>检测报告（环检（委）【</w:t>
      </w:r>
      <w:r>
        <w:rPr>
          <w:rFonts w:ascii="Times New Roman" w:hAnsi="Times New Roman" w:cs="Times New Roman" w:hint="eastAsia"/>
        </w:rPr>
        <w:t>2024</w:t>
      </w:r>
      <w:r>
        <w:rPr>
          <w:rFonts w:ascii="Times New Roman" w:hAnsi="Times New Roman" w:cs="Times New Roman" w:hint="eastAsia"/>
        </w:rPr>
        <w:t>】第</w:t>
      </w:r>
      <w:r>
        <w:rPr>
          <w:rFonts w:ascii="Times New Roman" w:hAnsi="Times New Roman" w:cs="Times New Roman" w:hint="eastAsia"/>
        </w:rPr>
        <w:t>1252</w:t>
      </w:r>
      <w:r>
        <w:rPr>
          <w:rFonts w:ascii="Times New Roman" w:hAnsi="Times New Roman" w:cs="Times New Roman" w:hint="eastAsia"/>
        </w:rPr>
        <w:t>号）显</w:t>
      </w:r>
      <w:r>
        <w:rPr>
          <w:rFonts w:ascii="Times New Roman" w:hAnsi="Times New Roman" w:cs="Times New Roman" w:hint="eastAsia"/>
        </w:rPr>
        <w:lastRenderedPageBreak/>
        <w:t>示污染物排放符合排放限值要求</w:t>
      </w:r>
      <w:r w:rsidRPr="00ED6A96">
        <w:rPr>
          <w:rFonts w:ascii="Times New Roman" w:hAnsi="Times New Roman" w:cs="Times New Roman" w:hint="eastAsia"/>
        </w:rPr>
        <w:t>。</w:t>
      </w:r>
      <w:r>
        <w:rPr>
          <w:rFonts w:ascii="Times New Roman" w:hAnsi="Times New Roman" w:cs="Times New Roman" w:hint="eastAsia"/>
        </w:rPr>
        <w:t>该公司于</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w:t>
      </w:r>
      <w:r>
        <w:rPr>
          <w:rFonts w:ascii="Times New Roman" w:hAnsi="Times New Roman" w:cs="Times New Roman" w:hint="eastAsia"/>
        </w:rPr>
        <w:t>29</w:t>
      </w:r>
      <w:r>
        <w:rPr>
          <w:rFonts w:ascii="Times New Roman" w:hAnsi="Times New Roman" w:cs="Times New Roman" w:hint="eastAsia"/>
        </w:rPr>
        <w:t>日取得《关于宁夏恒有能源化工科技有限公司甲醇制丙烯装置优化改造及罐区安全提升项目环境影响报告书的批复》，将改造纳入其中。</w:t>
      </w:r>
      <w:r w:rsidRPr="006644F1">
        <w:rPr>
          <w:rFonts w:ascii="Times New Roman" w:hAnsi="Times New Roman" w:cs="Times New Roman"/>
          <w:b/>
        </w:rPr>
        <w:t>二是</w:t>
      </w:r>
      <w:r>
        <w:rPr>
          <w:rFonts w:ascii="Times New Roman" w:hAnsi="Times New Roman" w:cs="Times New Roman" w:hint="eastAsia"/>
        </w:rPr>
        <w:t>生态环境局加强监督检查，</w:t>
      </w:r>
      <w:r>
        <w:rPr>
          <w:rFonts w:ascii="Times New Roman" w:hAnsi="Times New Roman" w:cs="Times New Roman" w:hint="eastAsia"/>
        </w:rPr>
        <w:t>2024</w:t>
      </w:r>
      <w:r>
        <w:rPr>
          <w:rFonts w:ascii="Times New Roman" w:hAnsi="Times New Roman" w:cs="Times New Roman" w:hint="eastAsia"/>
        </w:rPr>
        <w:t>年检查企业</w:t>
      </w:r>
      <w:r>
        <w:rPr>
          <w:rFonts w:ascii="Times New Roman" w:hAnsi="Times New Roman" w:cs="Times New Roman" w:hint="eastAsia"/>
        </w:rPr>
        <w:t>4</w:t>
      </w:r>
      <w:r>
        <w:rPr>
          <w:rFonts w:ascii="Times New Roman" w:hAnsi="Times New Roman" w:cs="Times New Roman" w:hint="eastAsia"/>
        </w:rPr>
        <w:t>次。企业委托宁夏盛世绿源环境检测有限责任公司和宁夏鑫泰科技有限公司开展无组织废气监测，</w:t>
      </w:r>
      <w:r>
        <w:rPr>
          <w:rFonts w:ascii="Times New Roman" w:hAnsi="Times New Roman" w:cs="Times New Roman" w:hint="eastAsia"/>
        </w:rPr>
        <w:t>2024</w:t>
      </w:r>
      <w:r>
        <w:rPr>
          <w:rFonts w:ascii="Times New Roman" w:hAnsi="Times New Roman" w:cs="Times New Roman" w:hint="eastAsia"/>
        </w:rPr>
        <w:t>年按季度开展自行监测共计</w:t>
      </w:r>
      <w:r>
        <w:rPr>
          <w:rFonts w:ascii="Times New Roman" w:hAnsi="Times New Roman" w:cs="Times New Roman" w:hint="eastAsia"/>
        </w:rPr>
        <w:t>4</w:t>
      </w:r>
      <w:r>
        <w:rPr>
          <w:rFonts w:ascii="Times New Roman" w:hAnsi="Times New Roman" w:cs="Times New Roman" w:hint="eastAsia"/>
        </w:rPr>
        <w:t>次，监测结果均符合排放限值要求。</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779" w:rsidRDefault="00D17779" w:rsidP="00BA222F">
      <w:pPr>
        <w:spacing w:line="240" w:lineRule="auto"/>
      </w:pPr>
      <w:r>
        <w:separator/>
      </w:r>
    </w:p>
  </w:endnote>
  <w:endnote w:type="continuationSeparator" w:id="1">
    <w:p w:rsidR="00D17779" w:rsidRDefault="00D17779" w:rsidP="00BA222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779" w:rsidRDefault="00D17779" w:rsidP="00BA222F">
      <w:pPr>
        <w:spacing w:line="240" w:lineRule="auto"/>
      </w:pPr>
      <w:r>
        <w:separator/>
      </w:r>
    </w:p>
  </w:footnote>
  <w:footnote w:type="continuationSeparator" w:id="1">
    <w:p w:rsidR="00D17779" w:rsidRDefault="00D17779" w:rsidP="00BA222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E19C3"/>
    <w:rsid w:val="000E266D"/>
    <w:rsid w:val="001043D6"/>
    <w:rsid w:val="001C20F1"/>
    <w:rsid w:val="001D2915"/>
    <w:rsid w:val="002977B7"/>
    <w:rsid w:val="00344134"/>
    <w:rsid w:val="00374402"/>
    <w:rsid w:val="003B26E0"/>
    <w:rsid w:val="00501E9D"/>
    <w:rsid w:val="00555A70"/>
    <w:rsid w:val="00583551"/>
    <w:rsid w:val="00590140"/>
    <w:rsid w:val="006B17A2"/>
    <w:rsid w:val="007B36BC"/>
    <w:rsid w:val="009D3BC2"/>
    <w:rsid w:val="00A44C72"/>
    <w:rsid w:val="00A60429"/>
    <w:rsid w:val="00B34351"/>
    <w:rsid w:val="00B83174"/>
    <w:rsid w:val="00BA222F"/>
    <w:rsid w:val="00D17779"/>
    <w:rsid w:val="00D477FB"/>
    <w:rsid w:val="00D55FA9"/>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22F"/>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BA222F"/>
    <w:rPr>
      <w:rFonts w:eastAsia="仿宋_GB2312"/>
      <w:sz w:val="18"/>
      <w:szCs w:val="18"/>
    </w:rPr>
  </w:style>
  <w:style w:type="paragraph" w:styleId="a4">
    <w:name w:val="footer"/>
    <w:basedOn w:val="a"/>
    <w:link w:val="Char0"/>
    <w:uiPriority w:val="99"/>
    <w:semiHidden/>
    <w:unhideWhenUsed/>
    <w:rsid w:val="00BA222F"/>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BA222F"/>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2024-12-18T05:31:00Z</dcterms:created>
  <dcterms:modified xsi:type="dcterms:W3CDTF">2025-02-06T07:51:00Z</dcterms:modified>
</cp:coreProperties>
</file>